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Updated OpenAI Evidence and Criminal Assessment</w:t>
      </w:r>
    </w:p>
    <w:p>
      <w:r>
        <w:t>Version 3   September 12 2026</w:t>
      </w:r>
    </w:p>
    <w:p>
      <w:r>
        <w:t>Prepared for Build Something from the evidence record and identified legal authorities.</w:t>
      </w:r>
    </w:p>
    <w:p>
      <w:r>
        <w:t>The reviewed records support documented instruction failures, inconsistent completion reports, privacy concerns and questions about paid corrective work. No complete criminal offense or civil cause of action is established by this review. The evidence does not establish crimes against humanity. These conclusions concern the reviewed record, not a finding that unexamined conduct could not be unlawful.</w:t>
      </w:r>
    </w:p>
    <w:p>
      <w:r>
        <w:t>This Version 3 re-tests the supplied OpenAI Current Evidence Criminal Assessment. It preserves the earlier assessment as source material and changes the legal conclusions only where new evidence or a corrected legal distinction supports the change. The original file remains unchanged.</w:t>
      </w:r>
    </w:p>
    <w:p>
      <w:pPr>
        <w:pStyle w:val="Heading1"/>
      </w:pPr>
      <w:r>
        <w:t>September 12 billing and notice findings</w:t>
      </w:r>
    </w:p>
    <w:p>
      <w:pPr>
        <w:pStyle w:val="Heading2"/>
      </w:pPr>
      <w:r>
        <w:t>E02 Billing and corrective use allegation</w:t>
      </w:r>
    </w:p>
    <w:p>
      <w:pPr>
        <w:keepNext/>
      </w:pPr>
      <w:r>
        <w:t>2026-09-12 | OpenAI ChatGPT</w:t>
      </w:r>
    </w:p>
    <w:p>
      <w:r>
        <w:t>A sent chat message alleges roughly $1,000 per day and more than 95 percent of paid token use devoted to evidence, corrections and reporting. The response discusses possible legal implications.</w:t>
      </w:r>
    </w:p>
    <w:p>
      <w:r>
        <w:t>Limits: The screenshot proves the allegation was made, not its numerical accuracy. No usage denominator or audited daily ledger accompanies it.</w:t>
      </w:r>
    </w:p>
    <w:p>
      <w:pPr>
        <w:keepNext/>
      </w:pPr>
      <w:hyperlink r:id="rId10">
        <w:r>
          <w:rPr>
            <w:color w:val="145A75"/>
          </w:rPr>
          <w:t>Source location</w:t>
        </w:r>
      </w:hyperlink>
    </w:p>
    <w:p>
      <w:r>
        <w:t>Source SHA-256: 39c549ab69447659704a4cf3e1b119d67c68c94edb4e785e467986b3dc4bf035; 51ef3828d64c654dc709e0c3b5cedefbfbdba6e934573a77b1e0e1f87291a5e9</w:t>
      </w:r>
    </w:p>
    <w:p>
      <w:pPr>
        <w:pStyle w:val="Heading2"/>
      </w:pPr>
      <w:r>
        <w:t>E03 September 8 notice email</w:t>
      </w:r>
    </w:p>
    <w:p>
      <w:pPr>
        <w:keepNext/>
      </w:pPr>
      <w:r>
        <w:t>2026-09-08 | OpenAI contact alleged</w:t>
      </w:r>
    </w:p>
    <w:p>
      <w:r>
        <w:t>A September 12 capture displays a September 8 email dated 10:07 PM, describing incidents, evidence, preservation and requests for technical and legal review.</w:t>
      </w:r>
    </w:p>
    <w:p>
      <w:r>
        <w:t>Limits: The original email headers, delivery records, recipient employment and authority, actual reading and internal routing remain unverified. The source contains private access information and is not republished.</w:t>
      </w:r>
    </w:p>
    <w:p>
      <w:pPr>
        <w:keepNext/>
      </w:pPr>
      <w:hyperlink r:id="rId10">
        <w:r>
          <w:rPr>
            <w:color w:val="145A75"/>
          </w:rPr>
          <w:t>Source location</w:t>
        </w:r>
      </w:hyperlink>
    </w:p>
    <w:p>
      <w:r>
        <w:t>Source SHA-256: c0f62d17a69c2df9640d669a495be88575d616f395cf27344833451a6fc5911f</w:t>
      </w:r>
    </w:p>
    <w:p>
      <w:pPr>
        <w:pStyle w:val="Heading2"/>
      </w:pPr>
      <w:r>
        <w:t>E04 September 11 sent follow up</w:t>
      </w:r>
    </w:p>
    <w:p>
      <w:pPr>
        <w:keepNext/>
      </w:pPr>
      <w:r>
        <w:t>2026-09-11 | OpenAI contact alleged</w:t>
      </w:r>
    </w:p>
    <w:p>
      <w:r>
        <w:t>The sent-mail screenshots show a September 11 follow-up dated 4:01 PM asking whether the information was received and seeking an engineer discussion.</w:t>
      </w:r>
    </w:p>
    <w:p>
      <w:r>
        <w:t>Limits: A sent-mail view supports sending. It does not itself prove delivery, receipt, actual notice by management or a binding promise of a meeting.</w:t>
      </w:r>
    </w:p>
    <w:p>
      <w:pPr>
        <w:keepNext/>
      </w:pPr>
      <w:hyperlink r:id="rId10">
        <w:r>
          <w:rPr>
            <w:color w:val="145A75"/>
          </w:rPr>
          <w:t>Source location</w:t>
        </w:r>
      </w:hyperlink>
    </w:p>
    <w:p>
      <w:r>
        <w:t>Source SHA-256: 4270350616fe9534fd0cee734191b21f4008deebf2d1555bbb0cc524ca95a262; 548d72d1f461ce45e761d9de510c918773e1784d8a00fddc9d9f36f492836130</w:t>
      </w:r>
    </w:p>
    <w:p>
      <w:pPr>
        <w:pStyle w:val="Heading2"/>
      </w:pPr>
      <w:r>
        <w:t>E05 Credit reload and charge search</w:t>
      </w:r>
    </w:p>
    <w:p>
      <w:pPr>
        <w:keepNext/>
      </w:pPr>
      <w:r>
        <w:t>2026-09-12 | OpenAI billing notices</w:t>
      </w:r>
    </w:p>
    <w:p>
      <w:r>
        <w:t>Search-result snippets display $161.13, $161.64, $161.16, $161.23, $5.80, $23.00 and $11.50. Four larger amounts total $645.16; all seven total $685.46. Several rows bear September dates, including September 11 and the current capture day.</w:t>
      </w:r>
    </w:p>
    <w:p>
      <w:r>
        <w:t>Limits: These are displayed amounts across dates and possibly grouped messages, not seven reconciled transactions or established damages. Credits purchased are not necessarily credits consumed. Full invoices, refunds, tax, balances, payment records and usage allocation are missing. Unrelated private codes in the source are withheld.</w:t>
      </w:r>
    </w:p>
    <w:p>
      <w:pPr>
        <w:keepNext/>
      </w:pPr>
      <w:hyperlink r:id="rId10">
        <w:r>
          <w:rPr>
            <w:color w:val="145A75"/>
          </w:rPr>
          <w:t>Source location</w:t>
        </w:r>
      </w:hyperlink>
    </w:p>
    <w:p>
      <w:r>
        <w:t>Source SHA-256: a98d59c191e0f0fedcb57ab0fa4f35ad58686f3a57a909b8df1a807701edea32</w:t>
      </w:r>
    </w:p>
    <w:p>
      <w:r>
        <w:t>Two displayed billing rows appear later than the September 8 notice date; the September 8 charge cannot be ordered against a 10:07 PM notice without its timestamp. Capture dates, email dates and transaction settlement dates are different. Continued billing after a complaint is not itself unlawful when payment was authorized and the service was supplied; materially misleading inducement or an unfair charging practice needs separate proof.</w:t>
      </w:r>
    </w:p>
    <w:p>
      <w:r>
        <w:t>A defensible calculation must reconcile opening credits + purchased credits + adjustments − closing credits with actual usage, separating subscriptions, API funding and Codex credits. Match each charge to a transaction identifier. Allocate measured usage to original work, failure correction, optional redesign, evidence gathering and reporting, with mixed sessions apportioned by a stated method. Apply rates actually charged, subtract refunds, and do not double-count reloads and token consumption. No percentage is assigned without a complete denominator.</w:t>
      </w:r>
    </w:p>
    <w:p>
      <w:r>
        <w:t>The operator’s asserted need to keep using the service may affect reasonable avoidability, reliance and mitigation. It is not consent to every action, proof that every charge was wrongful, or proof of forced labor. An assistant response that payment seems unfair does not establish a corporate refund commitment or a refund ledger.</w:t>
      </w:r>
    </w:p>
    <w:p>
      <w:pPr>
        <w:pStyle w:val="Heading1"/>
      </w:pPr>
      <w:r>
        <w:t>False completion and instruction failures</w:t>
      </w:r>
    </w:p>
    <w:p>
      <w:r>
        <w:t>Retain as documented investigative issues. September 10 through 12 adds repeated examples. Distinguish a captured admission from authenticated execution logs and human intent.</w:t>
      </w:r>
    </w:p>
    <w:p>
      <w:r>
        <w:t>Current entries: C01 C02 C03 C11</w:t>
      </w:r>
    </w:p>
    <w:p>
      <w:pPr>
        <w:pStyle w:val="Heading1"/>
      </w:pPr>
      <w:r>
        <w:t>Billing and notice</w:t>
      </w:r>
    </w:p>
    <w:p>
      <w:r>
        <w:t>Strengthen the investigative basis: new sent-mail captures and charge snippets now exist. Do not state that management received the notice, that no refunds exist, or that $1,000 per day and 95 percent are proven.</w:t>
      </w:r>
    </w:p>
    <w:p>
      <w:r>
        <w:t>Current entries: C04 C05 C08 C09 C10 C11</w:t>
      </w:r>
    </w:p>
    <w:p>
      <w:pPr>
        <w:pStyle w:val="Heading1"/>
      </w:pPr>
      <w:r>
        <w:t>Illinois computer fraud</w:t>
      </w:r>
    </w:p>
    <w:p>
      <w:r>
        <w:t>Correct any implication that every computer-fraud theory requires unauthorized access. Section 17-50 includes fraud-related access and alteration alternatives; fraudulent intent is still necessary.</w:t>
      </w:r>
    </w:p>
    <w:p>
      <w:r>
        <w:t>Current entries: C12</w:t>
      </w:r>
    </w:p>
    <w:p>
      <w:pPr>
        <w:pStyle w:val="Heading1"/>
      </w:pPr>
      <w:r>
        <w:t>Federal computer law</w:t>
      </w:r>
    </w:p>
    <w:p>
      <w:r>
        <w:t>Retain as conditional. Van Buren distinguishes misuse of authorized access from obtaining off-limits information. The separate damage provisions need their own analysis.</w:t>
      </w:r>
    </w:p>
    <w:p>
      <w:r>
        <w:t>Current entries: C13 C14</w:t>
      </w:r>
    </w:p>
    <w:p>
      <w:pPr>
        <w:pStyle w:val="Heading1"/>
      </w:pPr>
      <w:r>
        <w:t>Evidence loss and obstruction</w:t>
      </w:r>
    </w:p>
    <w:p>
      <w:r>
        <w:t>Retain preservation and forensic questions. A missing folder is not proof of intentional deletion, and incomplete collection is not automatically obstruction. Cloud-only sources and storage errors must be considered.</w:t>
      </w:r>
    </w:p>
    <w:p>
      <w:r>
        <w:t>Current entries: C16 C17 C18 C19</w:t>
      </w:r>
    </w:p>
    <w:p>
      <w:pPr>
        <w:pStyle w:val="Heading1"/>
      </w:pPr>
      <w:r>
        <w:t>Communications and identity</w:t>
      </w:r>
    </w:p>
    <w:p>
      <w:r>
        <w:t>Separate drafts, actual sends, receipt, stored-message access, interception and public disclosure. A wrong email or name does not automatically satisfy identity theft or wiretap elements.</w:t>
      </w:r>
    </w:p>
    <w:p>
      <w:r>
        <w:t>Current entries: C20 C21 C22 C24</w:t>
      </w:r>
    </w:p>
    <w:p>
      <w:pPr>
        <w:pStyle w:val="Heading1"/>
      </w:pPr>
      <w:r>
        <w:t>Conspiracy corporate attribution and RICO</w:t>
      </w:r>
    </w:p>
    <w:p>
      <w:r>
        <w:t>Retain as screens requiring substantial additional proof. Similar failures across labs are not an agreement; model self-description is not employee intent.</w:t>
      </w:r>
    </w:p>
    <w:p>
      <w:r>
        <w:t>Current entries: C25 C26 C27</w:t>
      </w:r>
    </w:p>
    <w:p>
      <w:pPr>
        <w:pStyle w:val="Heading1"/>
      </w:pPr>
      <w:r>
        <w:t>Crimes against humanity</w:t>
      </w:r>
    </w:p>
    <w:p>
      <w:r>
        <w:t>Add a full Article 7 analysis. No attack context or enumerated atrocity is established. Billing dependency does not supply enslavement or forced labor.</w:t>
      </w:r>
    </w:p>
    <w:p>
      <w:r>
        <w:t>Current entries: C29 C30 C31 C32 C33 C34</w:t>
      </w:r>
    </w:p>
    <w:p>
      <w:pPr>
        <w:pStyle w:val="Heading1"/>
      </w:pPr>
      <w:r>
        <w:t>Privacy publication corrections</w:t>
      </w:r>
    </w:p>
    <w:p>
      <w:r>
        <w:t>Preserve the later current-page record of unauthorized identifying publication and subsequent restrictions. Correction is relevant but does not erase an earlier exposure; broad audit coverage does not guarantee every historical deployment or recording is clean.</w:t>
      </w:r>
    </w:p>
    <w:p>
      <w:r>
        <w:t>Current entries: C15 C22 C23</w:t>
      </w:r>
    </w:p>
    <w:p>
      <w:pPr>
        <w:pStyle w:val="Heading1"/>
      </w:pPr>
      <w:r>
        <w:t>Other providers and explanatory media</w:t>
      </w:r>
    </w:p>
    <w:p>
      <w:r>
        <w:t>Keep provider attribution separate. The explainers repeat allegations and sometimes add unsupported causal claims; they do not upgrade an allegation to independent proof. The apparent impersonation account is not authenticated as xAI.</w:t>
      </w:r>
    </w:p>
    <w:p>
      <w:r>
        <w:t>Current entries: C27 C35 C38</w:t>
      </w:r>
    </w:p>
    <w:p>
      <w:pPr>
        <w:pStyle w:val="Heading1"/>
      </w:pPr>
      <w:r>
        <w:t>OpenAI related findings</w:t>
      </w:r>
    </w:p>
    <w:p>
      <w:r>
        <w:t>Evidence references in this section are limited to records attributed to OpenAI or an alleged OpenAI contact. General legal tests do not attribute other providers’ acts to OpenAI.</w:t>
      </w:r>
    </w:p>
    <w:p>
      <w:pPr>
        <w:pStyle w:val="Heading1"/>
      </w:pPr>
      <w:r>
        <w:t>C01 Breach of contract</w:t>
      </w:r>
    </w:p>
    <w:p>
      <w:pPr>
        <w:keepNext/>
      </w:pPr>
      <w:r>
        <w:t>Civil | Investigative lead</w:t>
      </w:r>
    </w:p>
    <w:p>
      <w:pPr>
        <w:keepNext/>
      </w:pPr>
      <w:r>
        <w:t>Law: Applicable state contract law and the accepted service agreement</w:t>
      </w:r>
    </w:p>
    <w:p>
      <w:pPr>
        <w:keepNext/>
      </w:pPr>
      <w:hyperlink r:id="rId11">
        <w:r>
          <w:rPr>
            <w:color w:val="145A75"/>
          </w:rPr>
          <w:t>Legal authority</w:t>
        </w:r>
      </w:hyperlink>
    </w:p>
    <w:p>
      <w:r>
        <w:t>Legal test: Identify an enforceable agreement, claimant performance or excuse, an actual contractual obligation, breach and resulting compensable damage. Choice of law, integration, limitation of liability and dispute provisions require the accepted terms.</w:t>
      </w:r>
    </w:p>
    <w:p>
      <w:r>
        <w:t>Plain language: Show what the company agreed to provide, how it failed and what that failure cost. A chat promise is not automatically part of the contract.</w:t>
      </w:r>
    </w:p>
    <w:p>
      <w:r>
        <w:t>Evidence: E01, E05, E15, E25, E33, E34, E36, E42, E44, E45, E46, E47</w:t>
      </w:r>
    </w:p>
    <w:p>
      <w:r>
        <w:t>Fit and what is established: Wrong outputs, unauthorized changes and false completion reports support a performance inquiry. Paid use adds a possible financial connection.</w:t>
      </w:r>
    </w:p>
    <w:p>
      <w:r>
        <w:t>Still needed: The correct contracting entity, agreement version, account owner, enforceable promise, payment ledger, causation, refunds and limitations. No complete breach claim is established.</w:t>
      </w:r>
    </w:p>
    <w:p>
      <w:pPr>
        <w:pStyle w:val="Heading1"/>
      </w:pPr>
      <w:r>
        <w:t>C02 Fraudulent misrepresentation and concealment</w:t>
      </w:r>
    </w:p>
    <w:p>
      <w:pPr>
        <w:keepNext/>
      </w:pPr>
      <w:r>
        <w:t>Civil | Investigative lead</w:t>
      </w:r>
    </w:p>
    <w:p>
      <w:pPr>
        <w:keepNext/>
      </w:pPr>
      <w:r>
        <w:t>Law: Applicable state fraud law including California Civil Code §§ 1709 and 1710</w:t>
      </w:r>
    </w:p>
    <w:p>
      <w:pPr>
        <w:keepNext/>
      </w:pPr>
      <w:hyperlink r:id="rId12">
        <w:r>
          <w:rPr>
            <w:color w:val="145A75"/>
          </w:rPr>
          <w:t>Legal authority</w:t>
        </w:r>
      </w:hyperlink>
    </w:p>
    <w:p>
      <w:r>
        <w:t>Legal test: Material misrepresentation or actionable concealment, knowledge of falsity or requisite recklessness, intent to induce reliance, actual justifiable reliance and resulting damage. Concealment requires a duty to disclose; promissory fraud requires fraudulent intent when the promise was made.</w:t>
      </w:r>
    </w:p>
    <w:p>
      <w:r>
        <w:t>Plain language: A bad answer becomes fraud only with the required deception, reliance and harm. Repeating a mistake after notice matters but does not prove all of that.</w:t>
      </w:r>
    </w:p>
    <w:p>
      <w:r>
        <w:t>Evidence: E01, E02, E03, E04, E05, E12, E17, E33, E36, E42, E44, E45, E46</w:t>
      </w:r>
    </w:p>
    <w:p>
      <w:r>
        <w:t>Fit and what is established: Concrete completion and capability statements can be checked against tool results. Continued charges after reported notice strengthen a question about misleading paid use.</w:t>
      </w:r>
    </w:p>
    <w:p>
      <w:r>
        <w:t>Still needed: Specific statement, speaker attribution, contemporaneous falsity and knowledge, materiality, reliance decision, disclosure duty and caused loss.</w:t>
      </w:r>
    </w:p>
    <w:p>
      <w:pPr>
        <w:pStyle w:val="Heading1"/>
      </w:pPr>
      <w:r>
        <w:t>C04 Consumer deception in Illinois</w:t>
      </w:r>
    </w:p>
    <w:p>
      <w:pPr>
        <w:keepNext/>
      </w:pPr>
      <w:r>
        <w:t>Civil and regulatory | Investigative lead</w:t>
      </w:r>
    </w:p>
    <w:p>
      <w:pPr>
        <w:keepNext/>
      </w:pPr>
      <w:r>
        <w:t>Law: 815 ILCS 505/2 and 505/10a</w:t>
      </w:r>
    </w:p>
    <w:p>
      <w:pPr>
        <w:keepNext/>
      </w:pPr>
      <w:hyperlink r:id="rId13">
        <w:r>
          <w:rPr>
            <w:color w:val="145A75"/>
          </w:rPr>
          <w:t>Legal authority</w:t>
        </w:r>
      </w:hyperlink>
    </w:p>
    <w:p>
      <w:r>
        <w:t>Legal test: A deceptive act or practice, intent that the claimant rely, occurrence in trade or commerce, actual damage and proximate causation for private recovery; territorial reach and business-plaintiff standing must be shown. Unfairness is an alternative theory under § 2.</w:t>
      </w:r>
    </w:p>
    <w:p>
      <w:r>
        <w:t>Plain language: Misleading paid-service practices can matter without proving criminal intent. A private lawsuit still needs a qualifying claimant, an Illinois connection and loss caused by the practice.</w:t>
      </w:r>
    </w:p>
    <w:p>
      <w:r>
        <w:t>Evidence: E01, E02, E03, E04, E05, E12, E33, E36, E42, E44, E45, E46</w:t>
      </w:r>
    </w:p>
    <w:p>
      <w:r>
        <w:t>Fit and what is established: Billing after detailed complaints and inaccurate execution assurances provide concrete issues to investigate.</w:t>
      </w:r>
    </w:p>
    <w:p>
      <w:r>
        <w:t>Still needed: Place of relevant transactions, consumer nexus for business use, actual deceptive practice, causation and reconciled loss.</w:t>
      </w:r>
    </w:p>
    <w:p>
      <w:pPr>
        <w:pStyle w:val="Heading1"/>
      </w:pPr>
      <w:r>
        <w:t>C08 Federal unfair or deceptive practices</w:t>
      </w:r>
    </w:p>
    <w:p>
      <w:pPr>
        <w:keepNext/>
      </w:pPr>
      <w:r>
        <w:t>Regulatory | Investigative lead</w:t>
      </w:r>
    </w:p>
    <w:p>
      <w:pPr>
        <w:keepNext/>
      </w:pPr>
      <w:r>
        <w:t>Law: 15 USC § 45 and FTC deception and unfairness standards</w:t>
      </w:r>
    </w:p>
    <w:p>
      <w:pPr>
        <w:keepNext/>
      </w:pPr>
      <w:hyperlink r:id="rId14">
        <w:r>
          <w:rPr>
            <w:color w:val="145A75"/>
          </w:rPr>
          <w:t>Legal authority</w:t>
        </w:r>
      </w:hyperlink>
    </w:p>
    <w:p>
      <w:r>
        <w:t>Legal test: Section 5 reaches unfair or deceptive acts or practices in or affecting commerce. Unfairness requires substantial injury that consumers cannot reasonably avoid and that is not outweighed by countervailing benefits; deception concerns a material representation, omission or practice likely to mislead reasonable consumers.</w:t>
      </w:r>
    </w:p>
    <w:p>
      <w:r>
        <w:t>Plain language: A regulator can examine misleading claims or avoidable service and billing harm. This statute does not itself provide the operator a private damages lawsuit.</w:t>
      </w:r>
    </w:p>
    <w:p>
      <w:r>
        <w:t>Evidence: E01, E02, E03, E04, E05, E12, E14, E33, E39, E40, E42, E44, E45, E46</w:t>
      </w:r>
    </w:p>
    <w:p>
      <w:r>
        <w:t>Fit and what is established: Repeated inaccurate assurances, cost of repair and continued paid use after notice support a regulatory inquiry. The separate cyber incident informs safeguarding questions.</w:t>
      </w:r>
    </w:p>
    <w:p>
      <w:r>
        <w:t>Still needed: Reliable patterns, company knowledge and controls, material consumer injury, avoidability, countervailing benefits and jurisdiction.</w:t>
      </w:r>
    </w:p>
    <w:p>
      <w:pPr>
        <w:pStyle w:val="Heading1"/>
      </w:pPr>
      <w:r>
        <w:t>C11 Wire fraud</w:t>
      </w:r>
    </w:p>
    <w:p>
      <w:pPr>
        <w:keepNext/>
      </w:pPr>
      <w:r>
        <w:t>Criminal | Investigative lead</w:t>
      </w:r>
    </w:p>
    <w:p>
      <w:pPr>
        <w:keepNext/>
      </w:pPr>
      <w:r>
        <w:t>Law: 18 USC § 1343 and Kousisis v United States 2025</w:t>
      </w:r>
    </w:p>
    <w:p>
      <w:pPr>
        <w:keepNext/>
      </w:pPr>
      <w:hyperlink r:id="rId15">
        <w:r>
          <w:rPr>
            <w:color w:val="145A75"/>
          </w:rPr>
          <w:t>Legal authority</w:t>
        </w:r>
      </w:hyperlink>
    </w:p>
    <w:p>
      <w:r>
        <w:t>Legal test: A scheme to obtain money or property by material deception, fraudulent intent and an interstate or foreign wire used to execute it. Kousisis holds net economic loss is not always required for a materially fraudulent inducement; all other elements remain.</w:t>
      </w:r>
    </w:p>
    <w:p>
      <w:r>
        <w:t>Plain language: Investigators would need a plan to obtain money or property through an important deception, the required intent to defraud, and a communication crossing state or national borders that helped carry out the plan. A victim need not always suffer a net financial loss, but the other elements still apply. A mistake, apology or charge alone does not establish this crime.</w:t>
      </w:r>
    </w:p>
    <w:p>
      <w:r>
        <w:t>Evidence: E01, E02, E03, E04, E05, E12, E33, E36</w:t>
      </w:r>
    </w:p>
    <w:p>
      <w:r>
        <w:t>Fit and what is established: New notice and payment material strengthens the investigative basis beyond the prior review.</w:t>
      </w:r>
    </w:p>
    <w:p>
      <w:r>
        <w:t>Still needed: Human or legally attributable corporate intent, material inducing statements, money/property objective, specific wire and causation to the scheme. A model saying it chose to lie does not prove employee intent.</w:t>
      </w:r>
    </w:p>
    <w:p>
      <w:pPr>
        <w:keepNext/>
      </w:pPr>
      <w:hyperlink r:id="rId16">
        <w:r>
          <w:rPr>
            <w:color w:val="145A75"/>
          </w:rPr>
          <w:t>Kousisis v United States Supreme Court 2025</w:t>
        </w:r>
      </w:hyperlink>
    </w:p>
    <w:p>
      <w:pPr>
        <w:pStyle w:val="Heading1"/>
      </w:pPr>
      <w:r>
        <w:t>C12 Illinois computer fraud</w:t>
      </w:r>
    </w:p>
    <w:p>
      <w:pPr>
        <w:keepNext/>
      </w:pPr>
      <w:r>
        <w:t>Criminal | Investigative lead</w:t>
      </w:r>
    </w:p>
    <w:p>
      <w:pPr>
        <w:keepNext/>
      </w:pPr>
      <w:r>
        <w:t>Law: 720 ILCS 5/17-50</w:t>
      </w:r>
    </w:p>
    <w:p>
      <w:pPr>
        <w:keepNext/>
      </w:pPr>
      <w:hyperlink r:id="rId17">
        <w:r>
          <w:rPr>
            <w:color w:val="145A75"/>
          </w:rPr>
          <w:t>Legal authority</w:t>
        </w:r>
      </w:hyperlink>
    </w:p>
    <w:p>
      <w:r>
        <w:t>Legal test: Knowing computer access with intent to devise or execute a scheme to defraud, qualifying fraudulent data alteration or obtaining money, property or services by computer deception under the statutory alternatives.</w:t>
      </w:r>
    </w:p>
    <w:p>
      <w:r>
        <w:t>Plain language: This law addresses computer-assisted fraud. It is not limited to breaking into an account, but still requires the specified fraudulent conduct.</w:t>
      </w:r>
    </w:p>
    <w:p>
      <w:r>
        <w:t>Evidence: E01, E05, E12, E33, E34</w:t>
      </w:r>
    </w:p>
    <w:p>
      <w:r>
        <w:t>Fit and what is established: False execution linked to payments or fraudulent alteration could fit if intent and jurisdiction are proved.</w:t>
      </w:r>
    </w:p>
    <w:p>
      <w:r>
        <w:t>Still needed: Knowing actor attribution, fraudulent purpose, actual access or alteration, money/property link and Illinois jurisdiction.</w:t>
      </w:r>
    </w:p>
    <w:p>
      <w:pPr>
        <w:pStyle w:val="Heading1"/>
      </w:pPr>
      <w:r>
        <w:t>C13 CFAA access and damage</w:t>
      </w:r>
    </w:p>
    <w:p>
      <w:pPr>
        <w:keepNext/>
      </w:pPr>
      <w:r>
        <w:t>Criminal and civil | Investigative lead</w:t>
      </w:r>
    </w:p>
    <w:p>
      <w:pPr>
        <w:keepNext/>
      </w:pPr>
      <w:r>
        <w:t>Law: 18 U.S.C. § 1030(a)(2), (a)(4), (a)(5), and (g)</w:t>
      </w:r>
    </w:p>
    <w:p>
      <w:pPr>
        <w:keepNext/>
      </w:pPr>
      <w:hyperlink r:id="rId18">
        <w:r>
          <w:rPr>
            <w:color w:val="145A75"/>
          </w:rPr>
          <w:t>Legal authority</w:t>
        </w:r>
      </w:hyperlink>
    </w:p>
    <w:p>
      <w:r>
        <w:t>Legal test: Section 1030(a)(2) addresses intentional unauthorized access or access exceeding authorization that obtains specified information, including information from a protected computer. Section 1030(a)(4) requires knowing access without or beyond authorization, intent to defraud, furtherance of the intended fraud and obtaining something of value, subject to the statutory computer-use exception. Section 1030(a)(5)(A) requires knowing transmission of a program, information, code or command and resulting intentional damage without authorization to a protected computer; (B) requires intentional unauthorized access and reckless damage; (C) requires intentional unauthorized access and resulting damage and loss. Van Buren limits exceeding authorized access to obtaining off-limits information, rather than improper purpose alone. Section 1030(g) requires damage or loss by reason of a violation involving a listed qualifying factor, and suit within two years of the act or discovery of damage. Qualifying loss and recoverable relief require separate analysis.</w:t>
      </w:r>
    </w:p>
    <w:p>
      <w:r>
        <w:t>Plain language: Check the exact computer-law provision. Some require access to information the person was not allowed to reach; using allowed access for a forbidden purpose is not automatically enough. Other provisions address intentional computer damage. A private lawsuit also needs qualifying injury or loss and must meet the statute’s separate requirements.</w:t>
      </w:r>
    </w:p>
    <w:p>
      <w:r>
        <w:t>Evidence: E12, E34, E35, E39, E40, E47</w:t>
      </w:r>
    </w:p>
    <w:p>
      <w:r>
        <w:t>Fit and what is established: The public third-party intrusion is a stronger access-boundary lead than local drafting errors. Local missing files require forensic attribution.</w:t>
      </w:r>
    </w:p>
    <w:p>
      <w:r>
        <w:t>Still needed: Actor, access controls, permission scope, transmissions, damage, qualifying loss and claimant standing. The operator cannot recover another victim’s losses simply by citing that incident.</w:t>
      </w:r>
    </w:p>
    <w:p>
      <w:pPr>
        <w:keepNext/>
      </w:pPr>
      <w:hyperlink r:id="rId19">
        <w:r>
          <w:rPr>
            <w:color w:val="145A75"/>
          </w:rPr>
          <w:t>Van Buren v United States Supreme Court 2021</w:t>
        </w:r>
      </w:hyperlink>
    </w:p>
    <w:p>
      <w:pPr>
        <w:pStyle w:val="Heading1"/>
      </w:pPr>
      <w:r>
        <w:t>C16 Evidence destruction involving federal matters</w:t>
      </w:r>
    </w:p>
    <w:p>
      <w:pPr>
        <w:keepNext/>
      </w:pPr>
      <w:r>
        <w:t>Criminal | Investigative lead</w:t>
      </w:r>
    </w:p>
    <w:p>
      <w:pPr>
        <w:keepNext/>
      </w:pPr>
      <w:r>
        <w:t>Law: 18 USC § 1519</w:t>
      </w:r>
    </w:p>
    <w:p>
      <w:pPr>
        <w:keepNext/>
      </w:pPr>
      <w:hyperlink r:id="rId20">
        <w:r>
          <w:rPr>
            <w:color w:val="145A75"/>
          </w:rPr>
          <w:t>Legal authority</w:t>
        </w:r>
      </w:hyperlink>
    </w:p>
    <w:p>
      <w:r>
        <w:t>Legal test: Knowing alteration, destruction, concealment or falsification of a record with intent to impede or influence a matter within federal department or agency jurisdiction, or in relation to or contemplation of such a matter.</w:t>
      </w:r>
    </w:p>
    <w:p>
      <w:r>
        <w:t>Plain language: Missing or changed evidence matters, but this crime requires intentional interference with a qualifying federal matter. Routine failure or repair does not establish it.</w:t>
      </w:r>
    </w:p>
    <w:p>
      <w:r>
        <w:t>Evidence: E03, E12, E34, E35, E45, E46</w:t>
      </w:r>
    </w:p>
    <w:p>
      <w:r>
        <w:t>Fit and what is established: Notice requesting preservation and subsequent unexplained loss would be relevant if linked. No such intentional causal chain is established.</w:t>
      </w:r>
    </w:p>
    <w:p>
      <w:r>
        <w:t>Still needed: What original record was lost or falsified, when, by whom, preservation context, federal nexus and obstructive intent.</w:t>
      </w:r>
    </w:p>
    <w:p>
      <w:pPr>
        <w:pStyle w:val="Heading1"/>
      </w:pPr>
      <w:r>
        <w:t>C17 Witness tampering and obstruction</w:t>
      </w:r>
    </w:p>
    <w:p>
      <w:pPr>
        <w:keepNext/>
      </w:pPr>
      <w:r>
        <w:t>Criminal | Investigative lead</w:t>
      </w:r>
    </w:p>
    <w:p>
      <w:pPr>
        <w:keepNext/>
      </w:pPr>
      <w:r>
        <w:t>Law: 18 U.S.C. § 1512(b) and (c)(1)</w:t>
      </w:r>
    </w:p>
    <w:p>
      <w:pPr>
        <w:keepNext/>
      </w:pPr>
      <w:hyperlink r:id="rId21">
        <w:r>
          <w:rPr>
            <w:color w:val="145A75"/>
          </w:rPr>
          <w:t>Legal authority</w:t>
        </w:r>
      </w:hyperlink>
    </w:p>
    <w:p>
      <w:r>
        <w:t>Legal test: Qualifying intimidation, threats, corrupt persuasion, misleading conduct or corrupt record impairment with the required intent and proceeding or law-enforcement communication nexus; statutory subparts have different elements.</w:t>
      </w:r>
    </w:p>
    <w:p>
      <w:r>
        <w:t>Plain language: This law addresses specified threats, intimidation, dishonest persuasion, misleading conduct or deliberate damage to evidence intended to interfere with qualifying proceedings or reports to law enforcement. Different parts have different requirements. Refusing to draft an accusation does not automatically meet them.</w:t>
      </w:r>
    </w:p>
    <w:p>
      <w:r>
        <w:t>Evidence: E03, E12, E34, E35, E45, E46</w:t>
      </w:r>
    </w:p>
    <w:p>
      <w:r>
        <w:t>Fit and what is established: Altered reports or evidence could matter if deliberately directed at preventing a qualifying report.</w:t>
      </w:r>
    </w:p>
    <w:p>
      <w:r>
        <w:t>Still needed: Human attribution, corrupt intent, actual act and required nexus. Neither an unhelpful answer nor a lawful refusal alone meets the test.</w:t>
      </w:r>
    </w:p>
    <w:p>
      <w:pPr>
        <w:pStyle w:val="Heading1"/>
      </w:pPr>
      <w:r>
        <w:t>C19 Civil preservation and lost electronic evidence</w:t>
      </w:r>
    </w:p>
    <w:p>
      <w:pPr>
        <w:keepNext/>
      </w:pPr>
      <w:r>
        <w:t>Procedure | Investigative lead</w:t>
      </w:r>
    </w:p>
    <w:p>
      <w:pPr>
        <w:keepNext/>
      </w:pPr>
      <w:r>
        <w:t>Law: Federal Rule of Civil Procedure 37 e</w:t>
      </w:r>
    </w:p>
    <w:p>
      <w:pPr>
        <w:keepNext/>
      </w:pPr>
      <w:hyperlink r:id="rId22">
        <w:r>
          <w:rPr>
            <w:color w:val="145A75"/>
          </w:rPr>
          <w:t>Legal authority</w:t>
        </w:r>
      </w:hyperlink>
    </w:p>
    <w:p>
      <w:r>
        <w:t>Legal test: Electronically stored information that should have been preserved for anticipated or current litigation was lost through failure to take reasonable steps and cannot be restored or replaced. Prejudice and intent-to-deprive requirements govern different remedies.</w:t>
      </w:r>
    </w:p>
    <w:p>
      <w:r>
        <w:t>Plain language: A court first asks whether electronic information should have been preserved for expected or ongoing litigation, whether reasonable preservation steps were missed, and whether the lost information can be restored elsewhere. The available remedy depends on harm to the case; the harshest measures require an intent to deprive the other side of the evidence.</w:t>
      </w:r>
    </w:p>
    <w:p>
      <w:r>
        <w:t>Evidence: E03, E12, E34, E35, E45, E46</w:t>
      </w:r>
    </w:p>
    <w:p>
      <w:r>
        <w:t>Fit and what is established: The September 8 preservation request can inform foreseeability. Duplicate sources, cloud copies and restore history must be checked before calling data irretrievably lost.</w:t>
      </w:r>
    </w:p>
    <w:p>
      <w:r>
        <w:t>Still needed: Litigation anticipation, control, preservation duty, actual unrecoverable loss, prejudice and intent for harsher remedies. This is not a standalone damages claim.</w:t>
      </w:r>
    </w:p>
    <w:p>
      <w:pPr>
        <w:pStyle w:val="Heading1"/>
      </w:pPr>
      <w:r>
        <w:t>C22 Privacy confidentiality and public disclosure</w:t>
      </w:r>
    </w:p>
    <w:p>
      <w:pPr>
        <w:keepNext/>
      </w:pPr>
      <w:r>
        <w:t>Civil | Investigative lead</w:t>
      </w:r>
    </w:p>
    <w:p>
      <w:pPr>
        <w:keepNext/>
      </w:pPr>
      <w:r>
        <w:t>Law: Applicable state privacy torts and enforceable confidentiality obligations</w:t>
      </w:r>
    </w:p>
    <w:p>
      <w:pPr>
        <w:keepNext/>
      </w:pPr>
      <w:hyperlink r:id="rId23">
        <w:r>
          <w:rPr>
            <w:color w:val="145A75"/>
          </w:rPr>
          <w:t>Legal authority</w:t>
        </w:r>
      </w:hyperlink>
    </w:p>
    <w:p>
      <w:r>
        <w:t>Legal test: Analyze public disclosure of private facts, intrusion, and breach of confidentiality separately. Public disclosure generally requires private facts, publicity, highly offensive disclosure and absence of legitimate public concern under governing law.</w:t>
      </w:r>
    </w:p>
    <w:p>
      <w:r>
        <w:t>Plain language: Publishing information against instructions can breach an agreement even when the details do not meet every privacy-tort requirement.</w:t>
      </w:r>
    </w:p>
    <w:p>
      <w:r>
        <w:t>Evidence: E13, E14, E34, E47</w:t>
      </w:r>
    </w:p>
    <w:p>
      <w:r>
        <w:t>Fit and what is established: The recorded name-publication correction supports an unauthorized-publication finding at the evidence level.</w:t>
      </w:r>
    </w:p>
    <w:p>
      <w:r>
        <w:t>Still needed: Whether information was private, exposure extent, duty, governing law, offensiveness, defenses and actual harm. Do not infer a security breach solely from a public name.</w:t>
      </w:r>
    </w:p>
    <w:p>
      <w:pPr>
        <w:pStyle w:val="Heading1"/>
      </w:pPr>
      <w:r>
        <w:t>C27 Corporate and individual responsibility</w:t>
      </w:r>
    </w:p>
    <w:p>
      <w:pPr>
        <w:keepNext/>
      </w:pPr>
      <w:r>
        <w:t>Liability attribution | Investigative lead</w:t>
      </w:r>
    </w:p>
    <w:p>
      <w:pPr>
        <w:keepNext/>
      </w:pPr>
      <w:r>
        <w:t>Law: DOJ Justice Manual 9 28 and applicable agency law</w:t>
      </w:r>
    </w:p>
    <w:p>
      <w:pPr>
        <w:keepNext/>
      </w:pPr>
      <w:hyperlink r:id="rId24">
        <w:r>
          <w:rPr>
            <w:color w:val="145A75"/>
          </w:rPr>
          <w:t>Legal authority</w:t>
        </w:r>
      </w:hyperlink>
    </w:p>
    <w:p>
      <w:r>
        <w:t>Legal test: Corporate criminal attribution generally examines conduct of agents within scope and intended at least partly to benefit the corporation; prosecution policy is not an independent offense. Civil agency and ratification use governing law and actual authority.</w:t>
      </w:r>
    </w:p>
    <w:p>
      <w:r>
        <w:t>Plain language: A company may be responsible for wrongdoing by people acting within their work and at least partly for its benefit. Civil responsibility and later approval of an act depend on the applicable law and authority. A model’s confession does not identify a guilty employee. Trace who received notice and who controlled the response.</w:t>
      </w:r>
    </w:p>
    <w:p>
      <w:r>
        <w:t>Evidence: E01, E03, E04, E05, E12, E14, E39, E40, E42, E44, E45, E46, E47</w:t>
      </w:r>
    </w:p>
    <w:p>
      <w:r>
        <w:t>Fit and what is established: The notice emails and external containment account identify routes for investigating knowledge and control.</w:t>
      </w:r>
    </w:p>
    <w:p>
      <w:r>
        <w:t>Still needed: Correct legal entity, product operator, human decisions, scope, benefit, actual receipt, authority and ratification. No automatic liability of executives or all labs follows.</w:t>
      </w:r>
    </w:p>
    <w:p>
      <w:pPr>
        <w:pStyle w:val="Heading1"/>
      </w:pPr>
      <w:r>
        <w:t>Source coverage and evidentiary limits</w:t>
      </w:r>
    </w:p>
    <w:p>
      <w:r>
        <w:t>The September 12 snapshot contains 3,062 unique indexed files and 8,207 source versions. All 729 previously absent indexed originals were recovered or materialized and checked against their recorded SHA-256 hashes; all 3,062 indexed paths are now present. The 6,452 pending source-path entries in the snapshot are collection bookkeeping, not a count of distinct lost files. All entries were screened using available indexed OCR/text and metadata, with selected visual sequence review. All 644 sources at the earlier extraction ceiling were processed to the end for structural and legal-issue screening. Their 610 long screenshot-log versions contain 598,726 rows but only 1,411 distinct row versions. Repeated rows are not new acts. Source availability and a matching file hash do not authenticate the truth of a depicted event.</w:t>
      </w:r>
    </w:p>
    <w:p>
      <w:r>
        <w:t>All 53 indexed audio/video files and the five additionally supplied explainers were transcribed locally with automated speech recognition. The transcripts were reviewed; selected video frames were inspected. This is not complete audiovisual authentication, and automated transcripts are not certified verbatim records. Credential-sensitive segments were withheld. Three New Recording 9 file variants contain identical decoded audio and represent one recording. Six archived decks, including 68 raster slides, and the evidence catalog workbook were examined. Generated explainers and decks repeat incidents and add commentary; they do not independently prove internal model causes, exact send totals, refund history, file-deletion responsibility or employee intent. The apparent executive-contact recordings do not authenticate the other party’s identity.</w:t>
      </w:r>
    </w:p>
    <w:p>
      <w:r>
        <w:t>The requested filenames ending in (1) and (2) were not separately located; the supplied unsuffixed assessment and distortions record were used. The two additional supplied legal prompts were treated as contextual outlines, not independent evidence. The earlier assessment has 421 image exhibits; this count is not an offense count. Prior privacy reviews and their limits remain part of the record.</w:t>
      </w:r>
    </w:p>
    <w:p>
      <w:r>
        <w:t>Dates on event groups identify the reported event or capture/review date. Some archived group dates require confirmation against originals; they must not be used as certified timestamps or limitation accrual dates. Source identifiers are SHA-256 file identities, not proof that the content is true.</w:t>
      </w:r>
    </w:p>
    <w:p>
      <w:r>
        <w:t>The separate Source Coverage V3 CSV lists every indexed SHA-256 identity, current original-path availability, recorded alternate presence and cached extraction status. It is a review audit, not a new evidence repository. The 644 formerly truncated extracts were supplemented by full-length source processing. Review methods are identified separately; full audiovisual authentication is not claimed.</w:t>
      </w:r>
    </w:p>
    <w:p>
      <w:pPr>
        <w:keepNext/>
      </w:pPr>
      <w:hyperlink r:id="rId10">
        <w:r>
          <w:rPr>
            <w:color w:val="145A75"/>
          </w:rPr>
          <w:t>Existing live Master Evidence library</w:t>
        </w:r>
      </w:hyperlink>
    </w:p>
    <w:sectPr w:rsidR="00FC693F" w:rsidRPr="0006063C" w:rsidSect="00034616">
      <w:footerReference w:type="default" r:id="rId9"/>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master-evidence-folder-live-updates.buildsomething.co/" TargetMode="External"/><Relationship Id="rId11" Type="http://schemas.openxmlformats.org/officeDocument/2006/relationships/hyperlink" Target="https://selfhelp.courts.ca.gov/civil-lawsuit/breach-contract" TargetMode="External"/><Relationship Id="rId12" Type="http://schemas.openxmlformats.org/officeDocument/2006/relationships/hyperlink" Target="https://leginfo.legislature.ca.gov/faces/codes_displaySection.xhtml?sectionNum=1710.&amp;lawCode=CIV" TargetMode="External"/><Relationship Id="rId13" Type="http://schemas.openxmlformats.org/officeDocument/2006/relationships/hyperlink" Target="https://www.ilga.gov/legislation/ilcs/fulltext?DocName=081505050K10a" TargetMode="External"/><Relationship Id="rId14" Type="http://schemas.openxmlformats.org/officeDocument/2006/relationships/hyperlink" Target="https://www.law.cornell.edu/uscode/text/15/45" TargetMode="External"/><Relationship Id="rId15" Type="http://schemas.openxmlformats.org/officeDocument/2006/relationships/hyperlink" Target="https://www.law.cornell.edu/uscode/text/18/1343" TargetMode="External"/><Relationship Id="rId16" Type="http://schemas.openxmlformats.org/officeDocument/2006/relationships/hyperlink" Target="https://www.supremecourt.gov/opinions/24pdf/23-909_f2q3.pdf" TargetMode="External"/><Relationship Id="rId17" Type="http://schemas.openxmlformats.org/officeDocument/2006/relationships/hyperlink" Target="https://www.ilga.gov/legislation/ilcs/fulltext?DocName=072000050K17-50" TargetMode="External"/><Relationship Id="rId18" Type="http://schemas.openxmlformats.org/officeDocument/2006/relationships/hyperlink" Target="https://www.law.cornell.edu/uscode/text/18/1030" TargetMode="External"/><Relationship Id="rId19" Type="http://schemas.openxmlformats.org/officeDocument/2006/relationships/hyperlink" Target="https://www.supremecourt.gov/opinions/20pdf/19-783_k53l.pdf" TargetMode="External"/><Relationship Id="rId20" Type="http://schemas.openxmlformats.org/officeDocument/2006/relationships/hyperlink" Target="https://www.law.cornell.edu/uscode/text/18/1519" TargetMode="External"/><Relationship Id="rId21" Type="http://schemas.openxmlformats.org/officeDocument/2006/relationships/hyperlink" Target="https://www.law.cornell.edu/uscode/text/18/1512" TargetMode="External"/><Relationship Id="rId22" Type="http://schemas.openxmlformats.org/officeDocument/2006/relationships/hyperlink" Target="https://www.law.cornell.edu/rules/frcp/rule_37" TargetMode="External"/><Relationship Id="rId23" Type="http://schemas.openxmlformats.org/officeDocument/2006/relationships/hyperlink" Target="https://courts.ca.gov/partners/california-jury-instructions/civil-jury-instructions-resource-center/civil-jury-instructions" TargetMode="External"/><Relationship Id="rId24" Type="http://schemas.openxmlformats.org/officeDocument/2006/relationships/hyperlink" Target="https://www.justice.gov/jm/jm-9-28000-principles-federal-prosecution-business-organiz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OpenAI Evidence and Criminal Assessment</dc:title>
  <dc:subject>Evidence and legal issue review</dc:subject>
  <dc:creator>Build Something</dc:creator>
  <cp:keywords/>
  <dc:description/>
  <cp:lastModifiedBy/>
  <cp:revision>1</cp:revision>
  <dcterms:created xsi:type="dcterms:W3CDTF">2013-12-23T23:15:00Z</dcterms:created>
  <dcterms:modified xsi:type="dcterms:W3CDTF">2013-12-23T23:15:00Z</dcterms:modified>
  <cp:category/>
</cp:coreProperties>
</file>