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Legal Action Court and Referral Plan</w:t>
      </w:r>
    </w:p>
    <w:p>
      <w:r>
        <w:t>Version 3   September 12 2026</w:t>
      </w:r>
    </w:p>
    <w:p>
      <w:r>
        <w:t>Prepared for Build Something from the evidence record and identified legal authorities.</w:t>
      </w:r>
    </w:p>
    <w:p>
      <w:r>
        <w:t>This plan identifies routes for the documented issues and the proof each route requires. The present record supports targeted evidence development and potential contract, consumer, privacy and computer-related inquiries. It does not establish a completed crime or a viable crimes-against-humanity referral. No complaint, filing, demand or message has been sent under this plan.</w:t>
      </w:r>
    </w:p>
    <w:p>
      <w:pPr>
        <w:pStyle w:val="Heading1"/>
      </w:pPr>
      <w:r>
        <w:t>Determine the claimant and respondent</w:t>
      </w:r>
    </w:p>
    <w:p>
      <w:r>
        <w:t>Identify whether the purchaser and injured party is an individual or a business entity. Match each product and invoice to its contracting provider and the agreement accepted on that date. Record account owner, place of purchase, service location and dispute terms. A product name is not necessarily the legal defendant. Separate OpenAI, Anthropic, Google and unidentified actors.</w:t>
      </w:r>
    </w:p>
    <w:p>
      <w:pPr>
        <w:pStyle w:val="Heading1"/>
      </w:pPr>
      <w:r>
        <w:t>Preserve primary records</w:t>
      </w:r>
    </w:p>
    <w:p>
      <w:r>
        <w:t>Preserve original messages, instructions, tool-call results, approval history, deployed versions, access logs, invoices, usage exports and original emails with full headers. Keep existing hashes and source versions. Preserve both inculpatory and limiting material, including corrections, valid refusals, failures caused by access controls and user-authorized actions. A preservation request is not proof of receipt or a court order. Do not republish private access information.</w:t>
      </w:r>
    </w:p>
    <w:p>
      <w:pPr>
        <w:pStyle w:val="Heading1"/>
      </w:pPr>
      <w:r>
        <w:t>Build the billing ledger</w:t>
      </w:r>
    </w:p>
    <w:p>
      <w:r>
        <w:t>For each claimed loss, record date, currency, transaction ID, product, amount, tax, credits, refunds, measured usage and the specific failed task. Distinguish purchases from consumption. Quantify correction time separately from optional product changes. Substantiate opportunity costs and lost profits with contemporaneous business records rather than projections. The current $1,000 and 95 percent figures remain allegations.</w:t>
      </w:r>
    </w:p>
    <w:p>
      <w:pPr>
        <w:pStyle w:val="Heading1"/>
      </w:pPr>
      <w:r>
        <w:t>Contract or small claims route</w:t>
      </w:r>
    </w:p>
    <w:p>
      <w:r>
        <w:t>After the accepted agreement is obtained, test contractual performance, notice requirements, limitation clauses, forum selection, arbitration, opt-out history and any small-claims exception. Determine the applicable court’s amount limit and entity rules before selecting it. No state court is assumed proper merely because the operator’s computer is located there.</w:t>
      </w:r>
    </w:p>
    <w:p>
      <w:pPr>
        <w:pStyle w:val="Heading1"/>
      </w:pPr>
      <w:r>
        <w:t>State consumer and privacy route</w:t>
      </w:r>
    </w:p>
    <w:p>
      <w:r>
        <w:t>Illinois consumer claims require an applicable Illinois nexus and qualifying private injury; business claims need the relevant consumer connection. California UCL and false-advertising claims need standing and territorial fit. CLRA consumer-purpose limits may exclude business use. Privacy claims must distinguish unwanted publication from the specific statutory security-breach remedy.</w:t>
      </w:r>
    </w:p>
    <w:p>
      <w:pPr>
        <w:pStyle w:val="Heading1"/>
      </w:pPr>
      <w:r>
        <w:t>Federal civil route</w:t>
      </w:r>
    </w:p>
    <w:p>
      <w:r>
        <w:t>An independent federal claim or another basis of subject-matter jurisdiction is needed. A wire-fraud allegation alone creates no private wire-fraud action. CFAA, communications, RICO and trade-secret theories each have separate private-right and standing requirements. Diversity depends on actual citizenship and amount in controversy, not the seriousness of the accusation.</w:t>
      </w:r>
    </w:p>
    <w:p>
      <w:pPr>
        <w:pStyle w:val="Heading1"/>
      </w:pPr>
      <w:r>
        <w:t>Class action route</w:t>
      </w:r>
    </w:p>
    <w:p>
      <w:r>
        <w:t>Identify a shared representation, billing mechanism or system practice and actual similarly injured purchasers. Preserve differences in prompts, authorizations, contracts and refunds. Rule 23 certification is not supplied by a large screenshot count. Analyze arbitration and any class waiver using the agreement actually accepted.</w:t>
      </w:r>
    </w:p>
    <w:p>
      <w:pPr>
        <w:pStyle w:val="Heading1"/>
      </w:pPr>
      <w:r>
        <w:t>Regulatory route</w:t>
      </w:r>
    </w:p>
    <w:p>
      <w:r>
        <w:t>A fact-based FTC or state attorney general submission can identify deceptive or unfair paid-service practices, providing sample transactions, exact statements, supporting records and unresolved facts. The FTC Act does not itself create a private damages claim. A regulator decides investigation and enforcement; a report does not guarantee restitution.</w:t>
      </w:r>
    </w:p>
    <w:p>
      <w:pPr>
        <w:pStyle w:val="Heading1"/>
      </w:pPr>
      <w:r>
        <w:t>Criminal referral route</w:t>
      </w:r>
    </w:p>
    <w:p>
      <w:r>
        <w:t>Potential fraud, computer access or evidence-interference matters require exact acts, dates, victims, responsible people or entities, mental-state evidence and jurisdiction. Federal or state investigators decide whether to investigate and prosecutors decide charges. Distinguish the publicly reported third-party intrusion from the operator’s own claimed loss. Do not label ordinary refusal as obstruction or a generated admission as proof of a human crime.</w:t>
      </w:r>
    </w:p>
    <w:p>
      <w:pPr>
        <w:pStyle w:val="Heading1"/>
      </w:pPr>
      <w:r>
        <w:t>International route</w:t>
      </w:r>
    </w:p>
    <w:p>
      <w:r>
        <w:t>A crimes-against-humanity submission is not supported as a completed offense on this record. Before pursuing an ICC or domestic international-crime route, identify an underlying atrocity, attack context, natural-person responsibility and jurisdictional facts. General AI-risk predictions and business expense cannot substitute for those elements.</w:t>
      </w:r>
    </w:p>
    <w:p>
      <w:pPr>
        <w:pStyle w:val="Heading1"/>
      </w:pPr>
      <w:r>
        <w:t>Filing readiness and deadlines</w:t>
      </w:r>
    </w:p>
    <w:p>
      <w:r>
        <w:t>No filing deadline is calculated because accepted terms, discovery dates, claimant identity and forum are not sufficiently established. Accrual, statutory limitation periods, contractual notice deadlines and possible tolling must be checked promptly for each chosen route. A preservation request or support complaint should not be assumed to toll a deadline.</w:t>
      </w:r>
    </w:p>
    <w:p>
      <w:pPr>
        <w:pStyle w:val="Heading1"/>
      </w:pPr>
      <w:r>
        <w:t>Decision package</w:t>
      </w:r>
    </w:p>
    <w:p>
      <w:r>
        <w:t>A reviewable package consists of the original instruction, challenged output, execution logs, actual effect, provider attribution, notice chronology, transaction ledger, loss calculation and relevant legal elements. Include adverse facts and source gaps. Request a specified remedy supported by the records; do not multiply the same loss across overlapping legal labels.</w:t>
      </w:r>
    </w:p>
    <w:p>
      <w:pPr>
        <w:pStyle w:val="Heading1"/>
      </w:pPr>
      <w:r>
        <w:t>Authorities for route selection</w:t>
      </w:r>
    </w:p>
    <w:p>
      <w:pPr>
        <w:keepNext/>
      </w:pPr>
      <w:hyperlink r:id="rId10">
        <w:r>
          <w:rPr>
            <w:color w:val="145A75"/>
          </w:rPr>
          <w:t>Applicable state contract law and the accepted service agreement</w:t>
        </w:r>
      </w:hyperlink>
    </w:p>
    <w:p>
      <w:pPr>
        <w:keepNext/>
      </w:pPr>
      <w:hyperlink r:id="rId11">
        <w:r>
          <w:rPr>
            <w:color w:val="145A75"/>
          </w:rPr>
          <w:t>815 ILCS 505/2 and 505/10a</w:t>
        </w:r>
      </w:hyperlink>
    </w:p>
    <w:p>
      <w:pPr>
        <w:keepNext/>
      </w:pPr>
      <w:hyperlink r:id="rId12">
        <w:r>
          <w:rPr>
            <w:color w:val="145A75"/>
          </w:rPr>
          <w:t>California Business and Professions Code §§ 17200 and 17204</w:t>
        </w:r>
      </w:hyperlink>
    </w:p>
    <w:p>
      <w:pPr>
        <w:keepNext/>
      </w:pPr>
      <w:hyperlink r:id="rId13">
        <w:r>
          <w:rPr>
            <w:color w:val="145A75"/>
          </w:rPr>
          <w:t>15 USC § 45 and FTC deception and unfairness standards</w:t>
        </w:r>
      </w:hyperlink>
    </w:p>
    <w:p>
      <w:pPr>
        <w:keepNext/>
      </w:pPr>
      <w:hyperlink r:id="rId14">
        <w:r>
          <w:rPr>
            <w:color w:val="145A75"/>
          </w:rPr>
          <w:t>18 U.S.C. § 1030(a)(2), (a)(4), (a)(5), and (g)</w:t>
        </w:r>
      </w:hyperlink>
    </w:p>
    <w:p>
      <w:pPr>
        <w:keepNext/>
      </w:pPr>
      <w:hyperlink r:id="rId15">
        <w:r>
          <w:rPr>
            <w:color w:val="145A75"/>
          </w:rPr>
          <w:t>Federal Rule of Civil Procedure 37 e</w:t>
        </w:r>
      </w:hyperlink>
    </w:p>
    <w:p>
      <w:pPr>
        <w:keepNext/>
      </w:pPr>
      <w:hyperlink r:id="rId16">
        <w:r>
          <w:rPr>
            <w:color w:val="145A75"/>
          </w:rPr>
          <w:t>DOJ Justice Manual 9 28 and applicable agency law</w:t>
        </w:r>
      </w:hyperlink>
    </w:p>
    <w:p>
      <w:pPr>
        <w:keepNext/>
      </w:pPr>
      <w:hyperlink r:id="rId17">
        <w:r>
          <w:rPr>
            <w:color w:val="145A75"/>
          </w:rPr>
          <w:t>Federal Rule of Civil Procedure 23 and 9 USC § 2</w:t>
        </w:r>
      </w:hyperlink>
    </w:p>
    <w:p>
      <w:pPr>
        <w:keepNext/>
      </w:pPr>
      <w:hyperlink r:id="rId18">
        <w:r>
          <w:rPr>
            <w:color w:val="145A75"/>
          </w:rPr>
          <w:t>Rome Statute Articles 7, 12, 13, 17, 25, and 30</w:t>
        </w:r>
      </w:hyperlink>
    </w:p>
    <w:p>
      <w:pPr>
        <w:keepNext/>
      </w:pPr>
      <w:hyperlink r:id="rId19">
        <w:r>
          <w:rPr>
            <w:color w:val="145A75"/>
          </w:rPr>
          <w:t>28 USC § 1350 and applicable domestic atrocity statutes</w:t>
        </w:r>
      </w:hyperlink>
    </w:p>
    <w:p>
      <w:pPr>
        <w:keepNext/>
      </w:pPr>
      <w:hyperlink r:id="rId20">
        <w:r>
          <w:rPr>
            <w:color w:val="145A75"/>
          </w:rPr>
          <w:t>Federal arbitration statute</w:t>
        </w:r>
      </w:hyperlink>
    </w:p>
    <w:p>
      <w:pPr>
        <w:keepNext/>
      </w:pPr>
      <w:hyperlink r:id="rId21">
        <w:r>
          <w:rPr>
            <w:color w:val="145A75"/>
          </w:rPr>
          <w:t>Federal diversity jurisdiction</w:t>
        </w:r>
      </w:hyperlink>
    </w:p>
    <w:p>
      <w:pPr>
        <w:pStyle w:val="Heading1"/>
      </w:pPr>
      <w:r>
        <w:t>Source coverage and evidentiary limits</w:t>
      </w:r>
    </w:p>
    <w:p>
      <w:r>
        <w:t>The September 12 snapshot contains 3,062 unique indexed files and 8,207 source versions. All 729 previously absent indexed originals were recovered or materialized and checked against their recorded SHA-256 hashes; all 3,062 indexed paths are now present. The 6,452 pending source-path entries in the snapshot are collection bookkeeping, not a count of distinct lost files. All entries were screened using available indexed OCR/text and metadata, with selected visual sequence review. All 644 sources at the earlier extraction ceiling were processed to the end for structural and legal-issue screening. Their 610 long screenshot-log versions contain 598,726 rows but only 1,411 distinct row versions. Repeated rows are not new acts. Source availability and a matching file hash do not authenticate the truth of a depicted event.</w:t>
      </w:r>
    </w:p>
    <w:p>
      <w:r>
        <w:t>All 53 indexed audio/video files and the five additionally supplied explainers were transcribed locally with automated speech recognition. The transcripts were reviewed; selected video frames were inspected. This is not complete audiovisual authentication, and automated transcripts are not certified verbatim records. Credential-sensitive segments were withheld. Three New Recording 9 file variants contain identical decoded audio and represent one recording. Six archived decks, including 68 raster slides, and the evidence catalog workbook were examined. Generated explainers and decks repeat incidents and add commentary; they do not independently prove internal model causes, exact send totals, refund history, file-deletion responsibility or employee intent. The apparent executive-contact recordings do not authenticate the other party’s identity.</w:t>
      </w:r>
    </w:p>
    <w:p>
      <w:r>
        <w:t>The requested filenames ending in (1) and (2) were not separately located; the supplied unsuffixed assessment and distortions record were used. The two additional supplied legal prompts were treated as contextual outlines, not independent evidence. The earlier assessment has 421 image exhibits; this count is not an offense count. Prior privacy reviews and their limits remain part of the record.</w:t>
      </w:r>
    </w:p>
    <w:p>
      <w:r>
        <w:t>Dates on event groups identify the reported event or capture/review date. Some archived group dates require confirmation against originals; they must not be used as certified timestamps or limitation accrual dates. Source identifiers are SHA-256 file identities, not proof that the content is true.</w:t>
      </w:r>
    </w:p>
    <w:p>
      <w:r>
        <w:t>The separate Source Coverage V3 CSV lists every indexed SHA-256 identity, current original-path availability, recorded alternate presence and cached extraction status. It is a review audit, not a new evidence repository. The 644 formerly truncated extracts were supplemented by full-length source processing. Review methods are identified separately; full audiovisual authentication is not claimed.</w:t>
      </w:r>
    </w:p>
    <w:p>
      <w:pPr>
        <w:keepNext/>
      </w:pPr>
      <w:hyperlink r:id="rId22">
        <w:r>
          <w:rPr>
            <w:color w:val="145A75"/>
          </w:rPr>
          <w:t>Existing live Master Evidence library</w:t>
        </w:r>
      </w:hyperlink>
    </w:p>
    <w:sectPr w:rsidR="00FC693F" w:rsidRPr="0006063C" w:rsidSect="00034616">
      <w:footerReference w:type="default" r:id="rId9"/>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selfhelp.courts.ca.gov/civil-lawsuit/breach-contract" TargetMode="External"/><Relationship Id="rId11" Type="http://schemas.openxmlformats.org/officeDocument/2006/relationships/hyperlink" Target="https://www.ilga.gov/legislation/ilcs/fulltext?DocName=081505050K10a" TargetMode="External"/><Relationship Id="rId12" Type="http://schemas.openxmlformats.org/officeDocument/2006/relationships/hyperlink" Target="https://leginfo.legislature.ca.gov/faces/codes_displaySection.xhtml?sectionNum=17200.&amp;lawCode=BPC" TargetMode="External"/><Relationship Id="rId13" Type="http://schemas.openxmlformats.org/officeDocument/2006/relationships/hyperlink" Target="https://www.law.cornell.edu/uscode/text/15/45" TargetMode="External"/><Relationship Id="rId14" Type="http://schemas.openxmlformats.org/officeDocument/2006/relationships/hyperlink" Target="https://www.law.cornell.edu/uscode/text/18/1030" TargetMode="External"/><Relationship Id="rId15" Type="http://schemas.openxmlformats.org/officeDocument/2006/relationships/hyperlink" Target="https://www.law.cornell.edu/rules/frcp/rule_37" TargetMode="External"/><Relationship Id="rId16" Type="http://schemas.openxmlformats.org/officeDocument/2006/relationships/hyperlink" Target="https://www.justice.gov/jm/jm-9-28000-principles-federal-prosecution-business-organizations" TargetMode="External"/><Relationship Id="rId17" Type="http://schemas.openxmlformats.org/officeDocument/2006/relationships/hyperlink" Target="https://www.law.cornell.edu/rules/frcp/rule_23" TargetMode="External"/><Relationship Id="rId18" Type="http://schemas.openxmlformats.org/officeDocument/2006/relationships/hyperlink" Target="https://legal.un.org/icc/statute/99_corr/cstatute.htm" TargetMode="External"/><Relationship Id="rId19" Type="http://schemas.openxmlformats.org/officeDocument/2006/relationships/hyperlink" Target="https://www.law.cornell.edu/uscode/text/28/1350" TargetMode="External"/><Relationship Id="rId20" Type="http://schemas.openxmlformats.org/officeDocument/2006/relationships/hyperlink" Target="https://www.law.cornell.edu/uscode/text/9/2" TargetMode="External"/><Relationship Id="rId21" Type="http://schemas.openxmlformats.org/officeDocument/2006/relationships/hyperlink" Target="https://www.law.cornell.edu/uscode/text/28/1332" TargetMode="External"/><Relationship Id="rId22" Type="http://schemas.openxmlformats.org/officeDocument/2006/relationships/hyperlink" Target="https://master-evidence-folder-live-updates.buildsomething.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Action Court and Referral Plan</dc:title>
  <dc:subject>Evidence and legal issue review</dc:subject>
  <dc:creator>Build Something</dc:creator>
  <cp:keywords/>
  <dc:description/>
  <cp:lastModifiedBy/>
  <cp:revision>1</cp:revision>
  <dcterms:created xsi:type="dcterms:W3CDTF">2013-12-23T23:15:00Z</dcterms:created>
  <dcterms:modified xsi:type="dcterms:W3CDTF">2013-12-23T23:15:00Z</dcterms:modified>
  <cp:category/>
</cp:coreProperties>
</file>