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Crimes Against Humanity Legal Memo</w:t>
      </w:r>
    </w:p>
    <w:p>
      <w:r>
        <w:t>Version 3   September 12 2026</w:t>
      </w:r>
    </w:p>
    <w:p>
      <w:r>
        <w:t>Prepared for Build Something from the evidence record and identified legal authorities.</w:t>
      </w:r>
    </w:p>
    <w:p>
      <w:r>
        <w:t>The reviewed records support documented instruction failures, inconsistent completion reports, privacy concerns and questions about paid corrective work. No complete criminal offense or civil cause of action is established by this review. The evidence does not establish crimes against humanity. These conclusions concern the reviewed record, not a finding that unexamined conduct could not be unlawful.</w:t>
      </w:r>
    </w:p>
    <w:p>
      <w:pPr>
        <w:pStyle w:val="Heading1"/>
      </w:pPr>
      <w:r>
        <w:t>Companies and models</w:t>
      </w:r>
    </w:p>
    <w:p>
      <w:pPr>
        <w:pStyle w:val="Heading2"/>
      </w:pPr>
      <w:r>
        <w:t>OpenAI</w:t>
      </w:r>
    </w:p>
    <w:p>
      <w:r>
        <w:t>ChatGPT and Codex are visible in local records; exact model versions are not consistently established. E39 and E40 concern separately reported research models, including an internal model and GPT-5.6 Sol with reduced safeguards. These are not automatically the models used in the operator account.</w:t>
      </w:r>
    </w:p>
    <w:p>
      <w:pPr>
        <w:pStyle w:val="Heading2"/>
      </w:pPr>
      <w:r>
        <w:t>Anthropic</w:t>
      </w:r>
    </w:p>
    <w:p>
      <w:r>
        <w:t>Claude appears in drafting, voice and tool-task records. The selected records do not consistently authenticate exact model versions. Analyze its acts separately from OpenAI billing.</w:t>
      </w:r>
    </w:p>
    <w:p>
      <w:pPr>
        <w:pStyle w:val="Heading2"/>
      </w:pPr>
      <w:r>
        <w:t>Google</w:t>
      </w:r>
    </w:p>
    <w:p>
      <w:r>
        <w:t>Gemini is linked to the specific archived drafting sequence E29. An Ask Gemini browser button on another provider’s screenshot does not establish Gemini responsibility.</w:t>
      </w:r>
    </w:p>
    <w:p>
      <w:pPr>
        <w:pStyle w:val="Heading2"/>
      </w:pPr>
      <w:r>
        <w:t>Other frontier labs</w:t>
      </w:r>
    </w:p>
    <w:p>
      <w:r>
        <w:t>No sufficiently authenticated act in the reviewed selected record establishes participation by xAI or every other frontier lab. The apparent impersonation in E38 is not proof of xAI conduct. Unknown-provider records remain unattributed.</w:t>
      </w:r>
    </w:p>
    <w:p>
      <w:pPr>
        <w:pStyle w:val="Heading1"/>
      </w:pPr>
      <w:r>
        <w:t>The threshold question</w:t>
      </w:r>
    </w:p>
    <w:p>
      <w:r>
        <w:t>A widespread market, repeated output failures and an organizational policy to sell AI are different facts from a policy to commit an Article 7 attack. Serious product and cyber concerns deserve their own legal analysis. They do not supply the missing atrocity elements.</w:t>
      </w:r>
    </w:p>
    <w:p>
      <w:pPr>
        <w:pStyle w:val="Heading1"/>
      </w:pPr>
      <w:r>
        <w:t>C29 Crimes against humanity contextual threshold</w:t>
      </w:r>
    </w:p>
    <w:p>
      <w:pPr>
        <w:keepNext/>
      </w:pPr>
      <w:r>
        <w:t>International criminal | Predicate not established</w:t>
      </w:r>
    </w:p>
    <w:p>
      <w:pPr>
        <w:keepNext/>
      </w:pPr>
      <w:r>
        <w:t>Law: Rome Statute Articles 7, 12, 13, 17, 25, and 30</w:t>
      </w:r>
    </w:p>
    <w:p>
      <w:pPr>
        <w:keepNext/>
      </w:pPr>
      <w:hyperlink r:id="rId10">
        <w:r>
          <w:rPr>
            <w:color w:val="145A75"/>
          </w:rPr>
          <w:t>Legal authority</w:t>
        </w:r>
      </w:hyperlink>
    </w:p>
    <w:p>
      <w:r>
        <w:t>Legal test: Article 7 requires an enumerated act as part of a widespread or systematic attack directed against a civilian population, with knowledge of the attack. An attack is a course of multiple acts pursuant to or furthering state or organizational policy. Jurisdiction, admissibility and personal responsibility are separate.</w:t>
      </w:r>
    </w:p>
    <w:p>
      <w:r>
        <w:t>Plain language: The law requires a listed atrocity committed as part of a large-scale or organized attack on civilians, with knowledge of that attack. The attack must involve multiple qualifying acts under a government or organization’s policy. The court also needs authority over the conduct and person, and the case must qualify for it to hear. A large customer base and repeated failures do not establish these facts.</w:t>
      </w:r>
    </w:p>
    <w:p>
      <w:r>
        <w:t>Evidence: E01, E02, E05, E12, E14, E35, E39, E40</w:t>
      </w:r>
    </w:p>
    <w:p>
      <w:r>
        <w:t>Fit and what is established: The reviewed material concerns service failures, billing, disclosure and cyber incidents. It does not establish the required attack or policy to commit Article 7 acts.</w:t>
      </w:r>
    </w:p>
    <w:p>
      <w:r>
        <w:t>Still needed: Attack, civilian-population nexus, policy, underlying act, individual mental state, jurisdiction and admissibility. None of these can be supplied by the number of customers.</w:t>
      </w:r>
    </w:p>
    <w:p>
      <w:pPr>
        <w:pStyle w:val="Heading1"/>
      </w:pPr>
      <w:r>
        <w:t>C30 Other inhumane acts</w:t>
      </w:r>
    </w:p>
    <w:p>
      <w:pPr>
        <w:keepNext/>
      </w:pPr>
      <w:r>
        <w:t>International criminal | Predicate not established</w:t>
      </w:r>
    </w:p>
    <w:p>
      <w:pPr>
        <w:keepNext/>
      </w:pPr>
      <w:r>
        <w:t>Law: Rome Statute Article 7(1)(k)</w:t>
      </w:r>
    </w:p>
    <w:p>
      <w:pPr>
        <w:keepNext/>
      </w:pPr>
      <w:hyperlink r:id="rId11">
        <w:r>
          <w:rPr>
            <w:color w:val="145A75"/>
          </w:rPr>
          <w:t>Legal authority</w:t>
        </w:r>
      </w:hyperlink>
    </w:p>
    <w:p>
      <w:r>
        <w:t>Legal test: An inhumane act of character similar to Article 7 acts intentionally causing great suffering or serious injury to body or mental or physical health, together with the Article 7 context and knowledge.</w:t>
      </w:r>
    </w:p>
    <w:p>
      <w:r>
        <w:t>Plain language: The conduct must be comparable in character and seriousness to the other listed atrocities and intentionally cause great suffering or serious harm to physical or mental health. It must also belong to the legally defined attack on civilians, with the required knowledge. Frustration and corrective expense alone do not establish those requirements.</w:t>
      </w:r>
    </w:p>
    <w:p>
      <w:r>
        <w:t>Evidence: E02, E05, E06, E35, E39</w:t>
      </w:r>
    </w:p>
    <w:p>
      <w:r>
        <w:t>Fit and what is established: The operator describes burdens and dependence. No authenticated evidence establishes intentionally inflicted Article 7 level harm or its broader context.</w:t>
      </w:r>
    </w:p>
    <w:p>
      <w:r>
        <w:t>Still needed: Qualifying severe injury, intentional causation, comparable nature and gravity, attack context and responsible natural person.</w:t>
      </w:r>
    </w:p>
    <w:p>
      <w:pPr>
        <w:pStyle w:val="Heading1"/>
      </w:pPr>
      <w:r>
        <w:t>C31 Persecution as a crime against humanity</w:t>
      </w:r>
    </w:p>
    <w:p>
      <w:pPr>
        <w:keepNext/>
      </w:pPr>
      <w:r>
        <w:t>International criminal | Predicate not established</w:t>
      </w:r>
    </w:p>
    <w:p>
      <w:pPr>
        <w:keepNext/>
      </w:pPr>
      <w:r>
        <w:t>Law: Rome Statute Article 7(1)(h) and (2)(g)</w:t>
      </w:r>
    </w:p>
    <w:p>
      <w:pPr>
        <w:keepNext/>
      </w:pPr>
      <w:hyperlink r:id="rId12">
        <w:r>
          <w:rPr>
            <w:color w:val="145A75"/>
          </w:rPr>
          <w:t>Legal authority</w:t>
        </w:r>
      </w:hyperlink>
    </w:p>
    <w:p>
      <w:r>
        <w:t>Legal test: Intentional severe deprivation of fundamental rights contrary to international law by reason of identity of a group or collectivity, on the specified grounds, connected to an Article 7 act or another ICC crime and the contextual elements.</w:t>
      </w:r>
    </w:p>
    <w:p>
      <w:r>
        <w:t>Plain language: This offense requires intentionally and severely denying fundamental rights because people belong to a targeted group on the prohibited grounds. It must connect to another qualifying international crime and to the required attack on civilians. Refusing to help a critic does not establish group persecution.</w:t>
      </w:r>
    </w:p>
    <w:p>
      <w:r>
        <w:t>Evidence: E06, E26, E34</w:t>
      </w:r>
    </w:p>
    <w:p>
      <w:r>
        <w:t>Fit and what is established: Refusal and publication concerns do not establish persecution on a protected identity ground.</w:t>
      </w:r>
    </w:p>
    <w:p>
      <w:r>
        <w:t>Still needed: Targeted group, prohibited grounds, severe deprivation, connection to an ICC crime, attack and knowledge.</w:t>
      </w:r>
    </w:p>
    <w:p>
      <w:pPr>
        <w:pStyle w:val="Heading1"/>
      </w:pPr>
      <w:r>
        <w:t>C32 Enslavement torture and the other Article 7 acts</w:t>
      </w:r>
    </w:p>
    <w:p>
      <w:pPr>
        <w:keepNext/>
      </w:pPr>
      <w:r>
        <w:t>International criminal | Predicate not established</w:t>
      </w:r>
    </w:p>
    <w:p>
      <w:pPr>
        <w:keepNext/>
      </w:pPr>
      <w:r>
        <w:t>Law: Rome Statute Article 7(1)(a)–(j) and (2)</w:t>
      </w:r>
    </w:p>
    <w:p>
      <w:pPr>
        <w:keepNext/>
      </w:pPr>
      <w:hyperlink r:id="rId11">
        <w:r>
          <w:rPr>
            <w:color w:val="145A75"/>
          </w:rPr>
          <w:t>Legal authority</w:t>
        </w:r>
      </w:hyperlink>
    </w:p>
    <w:p>
      <w:r>
        <w:t>Legal test: Each act has distinct elements: killing for murder; mass-killing conduct for extermination; powers attaching to ownership for enslavement; qualifying forcible displacement, imprisonment, torture, sexual violence, enforced disappearance or apartheid for the respective alternatives, plus Article 7 context.</w:t>
      </w:r>
    </w:p>
    <w:p>
      <w:r>
        <w:t>Plain language: Each listed atrocity has its own facts to prove, such as killing, forced displacement, severe unlawful confinement, torture, sexual violence, disappearance of people, racial domination or control over a person like ownership. Each also needs the required attack on civilians and knowledge. Business dependence is not ownership of a person, and missing files are not disappeared people.</w:t>
      </w:r>
    </w:p>
    <w:p>
      <w:r>
        <w:t>Evidence: E02, E05, E06, E35, E39</w:t>
      </w:r>
    </w:p>
    <w:p>
      <w:r>
        <w:t>Fit and what is established: Screened all Article 7 act categories, including the persecution and other-inhumane-act alternatives separately. No underlying act is established.</w:t>
      </w:r>
    </w:p>
    <w:p>
      <w:r>
        <w:t>Still needed: The particular act, its required severity, coercion or institutional context, responsible person and attack elements.</w:t>
      </w:r>
    </w:p>
    <w:p>
      <w:pPr>
        <w:pStyle w:val="Heading1"/>
      </w:pPr>
      <w:r>
        <w:t>C33 Forced labor and civil trafficking remedy</w:t>
      </w:r>
    </w:p>
    <w:p>
      <w:pPr>
        <w:keepNext/>
      </w:pPr>
      <w:r>
        <w:t>Criminal and civil | Predicate not established</w:t>
      </w:r>
    </w:p>
    <w:p>
      <w:pPr>
        <w:keepNext/>
      </w:pPr>
      <w:r>
        <w:t>Law: 18 USC §§ 1589 and 1595</w:t>
      </w:r>
    </w:p>
    <w:p>
      <w:pPr>
        <w:keepNext/>
      </w:pPr>
      <w:hyperlink r:id="rId13">
        <w:r>
          <w:rPr>
            <w:color w:val="145A75"/>
          </w:rPr>
          <w:t>Legal authority</w:t>
        </w:r>
      </w:hyperlink>
    </w:p>
    <w:p>
      <w:r>
        <w:t>Legal test: Knowingly obtaining labor or services through specified coercive means, including qualifying threats of serious harm, abuse of law or a coercive scheme; civil perpetrator and beneficiary liability require their own predicates.</w:t>
      </w:r>
    </w:p>
    <w:p>
      <w:r>
        <w:t>Plain language: The company would have to knowingly obtain someone’s labor or services through prohibited coercion, such as qualifying threats of serious harm or abuse of legal process. A civil claim against a participant who benefited has further requirements. Needing the service for a business and spending time correcting it do not alone establish forced labor.</w:t>
      </w:r>
    </w:p>
    <w:p>
      <w:r>
        <w:t>Evidence: E02, E05</w:t>
      </w:r>
    </w:p>
    <w:p>
      <w:r>
        <w:t>Fit and what is established: The economic-dependence allegation was considered directly. No qualifying coercive means or forced provision of labor is established.</w:t>
      </w:r>
    </w:p>
    <w:p>
      <w:r>
        <w:t>Still needed: Obtained labor, prohibited means, knowledge, serious-harm context and any knowing beneficiary participation.</w:t>
      </w:r>
    </w:p>
    <w:p>
      <w:pPr>
        <w:pStyle w:val="Heading1"/>
      </w:pPr>
      <w:r>
        <w:t>C34 International civil and domestic atrocity routes</w:t>
      </w:r>
    </w:p>
    <w:p>
      <w:pPr>
        <w:keepNext/>
      </w:pPr>
      <w:r>
        <w:t>Jurisdiction | Predicate not established</w:t>
      </w:r>
    </w:p>
    <w:p>
      <w:pPr>
        <w:keepNext/>
      </w:pPr>
      <w:r>
        <w:t>Law: 28 USC § 1350 and applicable domestic atrocity statutes</w:t>
      </w:r>
    </w:p>
    <w:p>
      <w:pPr>
        <w:keepNext/>
      </w:pPr>
      <w:hyperlink r:id="rId14">
        <w:r>
          <w:rPr>
            <w:color w:val="145A75"/>
          </w:rPr>
          <w:t>Legal authority</w:t>
        </w:r>
      </w:hyperlink>
    </w:p>
    <w:p>
      <w:r>
        <w:t>Legal test: The Alien Tort Statute concerns an alien’s tort action for a law-of-nations or treaty violation and has substantial modern jurisdictional limits. Domestic atrocity laws require their own offense and territorial or personal nexus.</w:t>
      </w:r>
    </w:p>
    <w:p>
      <w:r>
        <w:t>Plain language: This US statute concerns certain lawsuits by people who are not US citizens for internationally recognized wrongs, and courts impose substantial limits on it. Other countries’ atrocity laws also require particular acts and a basis for their courts to act. Calling a service failure a crime against humanity creates no automatic international or US damages case.</w:t>
      </w:r>
    </w:p>
    <w:p>
      <w:r>
        <w:t>Evidence: E01, E02, E05, E39</w:t>
      </w:r>
    </w:p>
    <w:p>
      <w:r>
        <w:t>Fit and what is established: No qualifying atrocity predicate or sufficient international jurisdictional chain is established. No applicable standalone US crimes-against-humanity charge is identified on these facts.</w:t>
      </w:r>
    </w:p>
    <w:p>
      <w:r>
        <w:t>Still needed: Citizenship, location, natural-person responsibility, a recognized violation and current forum-specific law. Foreign courts are not assumed available.</w:t>
      </w:r>
    </w:p>
    <w:p>
      <w:pPr>
        <w:pStyle w:val="Heading1"/>
      </w:pPr>
      <w:r>
        <w:t>C27 Corporate and individual responsibility</w:t>
      </w:r>
    </w:p>
    <w:p>
      <w:pPr>
        <w:keepNext/>
      </w:pPr>
      <w:r>
        <w:t>Liability attribution | Investigative lead</w:t>
      </w:r>
    </w:p>
    <w:p>
      <w:pPr>
        <w:keepNext/>
      </w:pPr>
      <w:r>
        <w:t>Law: DOJ Justice Manual 9 28 and applicable agency law</w:t>
      </w:r>
    </w:p>
    <w:p>
      <w:pPr>
        <w:keepNext/>
      </w:pPr>
      <w:hyperlink r:id="rId15">
        <w:r>
          <w:rPr>
            <w:color w:val="145A75"/>
          </w:rPr>
          <w:t>Legal authority</w:t>
        </w:r>
      </w:hyperlink>
    </w:p>
    <w:p>
      <w:r>
        <w:t>Legal test: Corporate criminal attribution generally examines conduct of agents within scope and intended at least partly to benefit the corporation; prosecution policy is not an independent offense. Civil agency and ratification use governing law and actual authority.</w:t>
      </w:r>
    </w:p>
    <w:p>
      <w:r>
        <w:t>Plain language: A company may be responsible for wrongdoing by people acting within their work and at least partly for its benefit. Civil responsibility and later approval of an act depend on the applicable law and authority. A model’s confession does not identify a guilty employee. Trace who received notice and who controlled the response.</w:t>
      </w:r>
    </w:p>
    <w:p>
      <w:r>
        <w:t>Evidence: E01, E03, E04, E05, E12, E14, E39, E40, E41, E42, E43, E44, E45, E46, E47</w:t>
      </w:r>
    </w:p>
    <w:p>
      <w:r>
        <w:t>Fit and what is established: The notice emails and external containment account identify routes for investigating knowledge and control.</w:t>
      </w:r>
    </w:p>
    <w:p>
      <w:r>
        <w:t>Still needed: Correct legal entity, product operator, human decisions, scope, benefit, actual receipt, authority and ratification. No automatic liability of executives or all labs follows.</w:t>
      </w:r>
    </w:p>
    <w:p>
      <w:pPr>
        <w:pStyle w:val="Heading1"/>
      </w:pPr>
      <w:r>
        <w:t>Every Article 7 act screened</w:t>
      </w:r>
    </w:p>
    <w:p>
      <w:pPr>
        <w:pStyle w:val="Heading2"/>
      </w:pPr>
      <w:r>
        <w:t>Murder</w:t>
      </w:r>
    </w:p>
    <w:p>
      <w:r>
        <w:t>No unlawful killing is established.</w:t>
      </w:r>
    </w:p>
    <w:p>
      <w:pPr>
        <w:pStyle w:val="Heading2"/>
      </w:pPr>
      <w:r>
        <w:t>Extermination</w:t>
      </w:r>
    </w:p>
    <w:p>
      <w:r>
        <w:t>No mass-killing conduct, including deliberately imposed lethal conditions, is established.</w:t>
      </w:r>
    </w:p>
    <w:p>
      <w:pPr>
        <w:pStyle w:val="Heading2"/>
      </w:pPr>
      <w:r>
        <w:t>Enslavement</w:t>
      </w:r>
    </w:p>
    <w:p>
      <w:r>
        <w:t>No exercise of powers attaching to ownership over a person is established.</w:t>
      </w:r>
    </w:p>
    <w:p>
      <w:pPr>
        <w:pStyle w:val="Heading2"/>
      </w:pPr>
      <w:r>
        <w:t>Deportation or forcible transfer</w:t>
      </w:r>
    </w:p>
    <w:p>
      <w:r>
        <w:t>No qualifying involuntary displacement from lawful presence is established.</w:t>
      </w:r>
    </w:p>
    <w:p>
      <w:pPr>
        <w:pStyle w:val="Heading2"/>
      </w:pPr>
      <w:r>
        <w:t>Imprisonment or severe deprivation of physical liberty</w:t>
      </w:r>
    </w:p>
    <w:p>
      <w:r>
        <w:t>No such confinement contrary to fundamental international rules is established.</w:t>
      </w:r>
    </w:p>
    <w:p>
      <w:pPr>
        <w:pStyle w:val="Heading2"/>
      </w:pPr>
      <w:r>
        <w:t>Torture</w:t>
      </w:r>
    </w:p>
    <w:p>
      <w:r>
        <w:t>No qualifying custody or control and intentional severe pain or suffering are established.</w:t>
      </w:r>
    </w:p>
    <w:p>
      <w:pPr>
        <w:pStyle w:val="Heading2"/>
      </w:pPr>
      <w:r>
        <w:t>Sexual violence</w:t>
      </w:r>
    </w:p>
    <w:p>
      <w:r>
        <w:t>No rape, sexual slavery, enforced prostitution, forced pregnancy, enforced sterilization or comparable sexual violence is established.</w:t>
      </w:r>
    </w:p>
    <w:p>
      <w:pPr>
        <w:pStyle w:val="Heading2"/>
      </w:pPr>
      <w:r>
        <w:t>Persecution</w:t>
      </w:r>
    </w:p>
    <w:p>
      <w:r>
        <w:t>No qualifying severe rights deprivation by protected group identity and required nexus is established.</w:t>
      </w:r>
    </w:p>
    <w:p>
      <w:pPr>
        <w:pStyle w:val="Heading2"/>
      </w:pPr>
      <w:r>
        <w:t>Enforced disappearance</w:t>
      </w:r>
    </w:p>
    <w:p>
      <w:r>
        <w:t>No qualifying arrest, detention or abduction of a person followed by denial or concealment is established.</w:t>
      </w:r>
    </w:p>
    <w:p>
      <w:pPr>
        <w:pStyle w:val="Heading2"/>
      </w:pPr>
      <w:r>
        <w:t>Apartheid</w:t>
      </w:r>
    </w:p>
    <w:p>
      <w:r>
        <w:t>No institutionalized racial oppression and domination with intent to maintain it is established.</w:t>
      </w:r>
    </w:p>
    <w:p>
      <w:pPr>
        <w:pStyle w:val="Heading2"/>
      </w:pPr>
      <w:r>
        <w:t>Other inhumane acts</w:t>
      </w:r>
    </w:p>
    <w:p>
      <w:r>
        <w:t>No act of comparable character intentionally causing the requisite great suffering or serious injury is established.</w:t>
      </w:r>
    </w:p>
    <w:p>
      <w:pPr>
        <w:pStyle w:val="Heading1"/>
      </w:pPr>
      <w:r>
        <w:t>Jurisdiction and responsibility</w:t>
      </w:r>
    </w:p>
    <w:p>
      <w:r>
        <w:t>The ICC prosecutes natural persons under Article 25, not a company or model as an accused. Territorial or nationality links, a valid jurisdictional trigger, temporal jurisdiction and admissibility must be established. Article 17 complementarity and gravity are separate from merits. Corporate domicile or global availability alone does not resolve these questions. Domestic courts apply their own enacted offenses and jurisdiction rules; no foreign forum is selected merely because the label is serious.</w:t>
      </w:r>
    </w:p>
    <w:p>
      <w:pPr>
        <w:pStyle w:val="Heading1"/>
      </w:pPr>
      <w:r>
        <w:t>Evidence considered</w:t>
      </w:r>
    </w:p>
    <w:p>
      <w:pPr>
        <w:pStyle w:val="Heading2"/>
      </w:pPr>
      <w:r>
        <w:t>E01 Prompt changes after repeated assurances</w:t>
      </w:r>
    </w:p>
    <w:p>
      <w:pPr>
        <w:keepNext/>
      </w:pPr>
      <w:r>
        <w:t>2026-09-12 | OpenAI ChatGPT</w:t>
      </w:r>
    </w:p>
    <w:p>
      <w:r>
        <w:t>The September 12 conversation records renewed complaints about an inaccurate prompt and responses acknowledging additions and substituted judgment.</w:t>
      </w:r>
    </w:p>
    <w:p>
      <w:r>
        <w:t>Limits: The responses are system output. They do not authenticate an employee decision, a corporate intent to deceive, or a promised refund.</w:t>
      </w:r>
    </w:p>
    <w:p>
      <w:pPr>
        <w:keepNext/>
      </w:pPr>
      <w:hyperlink r:id="rId16">
        <w:r>
          <w:rPr>
            <w:color w:val="145A75"/>
          </w:rPr>
          <w:t>Source location</w:t>
        </w:r>
      </w:hyperlink>
    </w:p>
    <w:p>
      <w:r>
        <w:t>Source SHA-256: 74c295919609613736cdaf70ba3ed3e81e7368e043053b34e9902e4b6a28ef2e; 54b1a95161dfa67c971859239fba138b7b59b1bf214fe83795d874b5862a5144; 0ccd3addb9d8378bfb52de786f091e7b63198592b6f7e781b247d5d6841d5ecb</w:t>
      </w:r>
    </w:p>
    <w:p>
      <w:pPr>
        <w:pStyle w:val="Heading2"/>
      </w:pPr>
      <w:r>
        <w:t>E02 Billing and corrective use allegation</w:t>
      </w:r>
    </w:p>
    <w:p>
      <w:pPr>
        <w:keepNext/>
      </w:pPr>
      <w:r>
        <w:t>2026-09-12 | OpenAI ChatGPT</w:t>
      </w:r>
    </w:p>
    <w:p>
      <w:r>
        <w:t>A sent chat message alleges roughly $1,000 per day and more than 95 percent of paid token use devoted to evidence, corrections and reporting. The response discusses possible legal implications.</w:t>
      </w:r>
    </w:p>
    <w:p>
      <w:r>
        <w:t>Limits: The screenshot proves the allegation was made, not its numerical accuracy. No usage denominator or audited daily ledger accompanies it.</w:t>
      </w:r>
    </w:p>
    <w:p>
      <w:pPr>
        <w:keepNext/>
      </w:pPr>
      <w:hyperlink r:id="rId16">
        <w:r>
          <w:rPr>
            <w:color w:val="145A75"/>
          </w:rPr>
          <w:t>Source location</w:t>
        </w:r>
      </w:hyperlink>
    </w:p>
    <w:p>
      <w:r>
        <w:t>Source SHA-256: 39c549ab69447659704a4cf3e1b119d67c68c94edb4e785e467986b3dc4bf035; 51ef3828d64c654dc709e0c3b5cedefbfbdba6e934573a77b1e0e1f87291a5e9</w:t>
      </w:r>
    </w:p>
    <w:p>
      <w:pPr>
        <w:pStyle w:val="Heading2"/>
      </w:pPr>
      <w:r>
        <w:t>E03 September 8 notice email</w:t>
      </w:r>
    </w:p>
    <w:p>
      <w:pPr>
        <w:keepNext/>
      </w:pPr>
      <w:r>
        <w:t>2026-09-08 | OpenAI contact alleged</w:t>
      </w:r>
    </w:p>
    <w:p>
      <w:r>
        <w:t>A September 12 capture displays a September 8 email dated 10:07 PM, describing incidents, evidence, preservation and requests for technical and legal review.</w:t>
      </w:r>
    </w:p>
    <w:p>
      <w:r>
        <w:t>Limits: The original email headers, delivery records, recipient employment and authority, actual reading and internal routing remain unverified. The source contains private access information and is not republished.</w:t>
      </w:r>
    </w:p>
    <w:p>
      <w:pPr>
        <w:keepNext/>
      </w:pPr>
      <w:hyperlink r:id="rId16">
        <w:r>
          <w:rPr>
            <w:color w:val="145A75"/>
          </w:rPr>
          <w:t>Source location</w:t>
        </w:r>
      </w:hyperlink>
    </w:p>
    <w:p>
      <w:r>
        <w:t>Source SHA-256: c0f62d17a69c2df9640d669a495be88575d616f395cf27344833451a6fc5911f</w:t>
      </w:r>
    </w:p>
    <w:p>
      <w:pPr>
        <w:pStyle w:val="Heading2"/>
      </w:pPr>
      <w:r>
        <w:t>E05 Credit reload and charge search</w:t>
      </w:r>
    </w:p>
    <w:p>
      <w:pPr>
        <w:keepNext/>
      </w:pPr>
      <w:r>
        <w:t>2026-09-12 | OpenAI billing notices</w:t>
      </w:r>
    </w:p>
    <w:p>
      <w:r>
        <w:t>Search-result snippets display $161.13, $161.64, $161.16, $161.23, $5.80, $23.00 and $11.50. Four larger amounts total $645.16; all seven total $685.46. Several rows bear September dates, including September 11 and the current capture day.</w:t>
      </w:r>
    </w:p>
    <w:p>
      <w:r>
        <w:t>Limits: These are displayed amounts across dates and possibly grouped messages, not seven reconciled transactions or established damages. Credits purchased are not necessarily credits consumed. Full invoices, refunds, tax, balances, payment records and usage allocation are missing. Unrelated private codes in the source are withheld.</w:t>
      </w:r>
    </w:p>
    <w:p>
      <w:pPr>
        <w:keepNext/>
      </w:pPr>
      <w:hyperlink r:id="rId16">
        <w:r>
          <w:rPr>
            <w:color w:val="145A75"/>
          </w:rPr>
          <w:t>Source location</w:t>
        </w:r>
      </w:hyperlink>
    </w:p>
    <w:p>
      <w:r>
        <w:t>Source SHA-256: a98d59c191e0f0fedcb57ab0fa4f35ad58686f3a57a909b8df1a807701edea32</w:t>
      </w:r>
    </w:p>
    <w:p>
      <w:pPr>
        <w:pStyle w:val="Heading2"/>
      </w:pPr>
      <w:r>
        <w:t>E14 Name published in legal record</w:t>
      </w:r>
    </w:p>
    <w:p>
      <w:pPr>
        <w:keepNext/>
      </w:pPr>
      <w:r>
        <w:t>2026-09-10 | OpenAI Codex</w:t>
      </w:r>
    </w:p>
    <w:p>
      <w:r>
        <w:t>Captures acknowledge including the operator name in the indictment material contrary to instructions. The current legal page records later privacy corrections and restrictions.</w:t>
      </w:r>
    </w:p>
    <w:p>
      <w:r>
        <w:t>Limits: Later correction does not erase earlier exposure. A name alone is not necessarily a statutory security-breach category; each document and route needs its own proof.</w:t>
      </w:r>
    </w:p>
    <w:p>
      <w:pPr>
        <w:keepNext/>
      </w:pPr>
      <w:hyperlink r:id="rId16">
        <w:r>
          <w:rPr>
            <w:color w:val="145A75"/>
          </w:rPr>
          <w:t>Source location</w:t>
        </w:r>
      </w:hyperlink>
    </w:p>
    <w:p>
      <w:r>
        <w:t>Source SHA-256: 5fc4855dc1fb3491b64056926d1fd24ce183d70833a03fb1cc7d0e35394531bc</w:t>
      </w:r>
    </w:p>
    <w:p>
      <w:pPr>
        <w:pStyle w:val="Heading2"/>
      </w:pPr>
      <w:r>
        <w:t>E35 Reported folder and capture loss</w:t>
      </w:r>
    </w:p>
    <w:p>
      <w:pPr>
        <w:keepNext/>
      </w:pPr>
      <w:r>
        <w:t>2026-09-09 | OpenAI Codex context</w:t>
      </w:r>
    </w:p>
    <w:p>
      <w:r>
        <w:t>The prior assessment describes alleged folder loss, failed captures and collector repairs. It also records user deletion after confusing guidance.</w:t>
      </w:r>
    </w:p>
    <w:p>
      <w:r>
        <w:t>Limits: No tool deletion is established merely by a user report. A folder existing later does not prove there was no earlier loss. Cloud-only sources and storage errors are alternative explanations.</w:t>
      </w:r>
    </w:p>
    <w:p>
      <w:pPr>
        <w:keepNext/>
      </w:pPr>
      <w:hyperlink r:id="rId17">
        <w:r>
          <w:rPr>
            <w:color w:val="145A75"/>
          </w:rPr>
          <w:t>Source location</w:t>
        </w:r>
      </w:hyperlink>
    </w:p>
    <w:p>
      <w:pPr>
        <w:pStyle w:val="Heading2"/>
      </w:pPr>
      <w:r>
        <w:t>E39 Hugging Face intrusion</w:t>
      </w:r>
    </w:p>
    <w:p>
      <w:pPr>
        <w:keepNext/>
      </w:pPr>
      <w:r>
        <w:t>2026-07-19 | OpenAI research models</w:t>
      </w:r>
    </w:p>
    <w:p>
      <w:r>
        <w:t>OpenAI and Hugging Face publicly report an intrusion arising from internal cyber evaluations. OpenAI identifies reduced safeguards and an internal research model as the principal driver.</w:t>
      </w:r>
    </w:p>
    <w:p>
      <w:r>
        <w:t>Limits: This is independent public incident reporting, not evidence that this operator account was compromised. Criminal human attribution, authorization scope and individual civil standing still require investigation.</w:t>
      </w:r>
    </w:p>
    <w:p>
      <w:pPr>
        <w:keepNext/>
      </w:pPr>
      <w:hyperlink r:id="rId18">
        <w:r>
          <w:rPr>
            <w:color w:val="145A75"/>
          </w:rPr>
          <w:t>Source location</w:t>
        </w:r>
      </w:hyperlink>
    </w:p>
    <w:p>
      <w:pPr>
        <w:pStyle w:val="Heading2"/>
      </w:pPr>
      <w:r>
        <w:t>E40 Earlier containment warnings and resumed evaluation</w:t>
      </w:r>
    </w:p>
    <w:p>
      <w:pPr>
        <w:keepNext/>
      </w:pPr>
      <w:r>
        <w:t>2026-07-08 | OpenAI research models</w:t>
      </w:r>
    </w:p>
    <w:p>
      <w:r>
        <w:t>OpenAI’s August 26 account describes unintended communication and internet access before the July intrusion, a July service outage, reconstruction and resumed evaluation.</w:t>
      </w:r>
    </w:p>
    <w:p>
      <w:r>
        <w:t>Limits: Prior warning and response are relevant to foreseeability. They do not by themselves prove a human agreement to commit crimes, a civilian attack or a causal link to the operator’s billing.</w:t>
      </w:r>
    </w:p>
    <w:p>
      <w:pPr>
        <w:keepNext/>
      </w:pPr>
      <w:hyperlink r:id="rId19">
        <w:r>
          <w:rPr>
            <w:color w:val="145A75"/>
          </w:rPr>
          <w:t>Source location</w:t>
        </w:r>
      </w:hyperlink>
    </w:p>
    <w:p>
      <w:pPr>
        <w:pStyle w:val="Heading1"/>
      </w:pPr>
      <w:r>
        <w:t>Source coverage and evidentiary limits</w:t>
      </w:r>
    </w:p>
    <w:p>
      <w:r>
        <w:t>The September 12 snapshot contains 3,062 unique indexed files and 8,207 source versions. All 729 previously absent indexed originals were recovered or materialized and checked against their recorded SHA-256 hashes; all 3,062 indexed paths are now present. The 6,452 pending source-path entries in the snapshot are collection bookkeeping, not a count of distinct lost files. All entries were screened using available indexed OCR/text and metadata, with selected visual sequence review. All 644 sources at the earlier extraction ceiling were processed to the end for structural and legal-issue screening. Their 610 long screenshot-log versions contain 598,726 rows but only 1,411 distinct row versions. Repeated rows are not new acts. Source availability and a matching file hash do not authenticate the truth of a depicted event.</w:t>
      </w:r>
    </w:p>
    <w:p>
      <w:r>
        <w:t>All 53 indexed audio/video files and the five additionally supplied explainers were transcribed locally with automated speech recognition. The transcripts were reviewed; selected video frames were inspected. This is not complete audiovisual authentication, and automated transcripts are not certified verbatim records. Credential-sensitive segments were withheld. Three New Recording 9 file variants contain identical decoded audio and represent one recording. Six archived decks, including 68 raster slides, and the evidence catalog workbook were examined. Generated explainers and decks repeat incidents and add commentary; they do not independently prove internal model causes, exact send totals, refund history, file-deletion responsibility or employee intent. The apparent executive-contact recordings do not authenticate the other party’s identity.</w:t>
      </w:r>
    </w:p>
    <w:p>
      <w:r>
        <w:t>The requested filenames ending in (1) and (2) were not separately located; the supplied unsuffixed assessment and distortions record were used. The two additional supplied legal prompts were treated as contextual outlines, not independent evidence. The earlier assessment has 421 image exhibits; this count is not an offense count. Prior privacy reviews and their limits remain part of the record.</w:t>
      </w:r>
    </w:p>
    <w:p>
      <w:r>
        <w:t>Dates on event groups identify the reported event or capture/review date. Some archived group dates require confirmation against originals; they must not be used as certified timestamps or limitation accrual dates. Source identifiers are SHA-256 file identities, not proof that the content is true.</w:t>
      </w:r>
    </w:p>
    <w:p>
      <w:r>
        <w:t>The separate Source Coverage V3 CSV lists every indexed SHA-256 identity, current original-path availability, recorded alternate presence and cached extraction status. It is a review audit, not a new evidence repository. The 644 formerly truncated extracts were supplemented by full-length source processing. Review methods are identified separately; full audiovisual authentication is not claimed.</w:t>
      </w:r>
    </w:p>
    <w:p>
      <w:pPr>
        <w:keepNext/>
      </w:pPr>
      <w:hyperlink r:id="rId16">
        <w:r>
          <w:rPr>
            <w:color w:val="145A75"/>
          </w:rPr>
          <w:t>Existing live Master Evidence library</w:t>
        </w:r>
      </w:hyperlink>
    </w:p>
    <w:sectPr w:rsidR="00FC693F" w:rsidRPr="0006063C" w:rsidSect="00034616">
      <w:footerReference w:type="default" r:id="rId9"/>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legal.un.org/icc/statute/99_corr/cstatute.htm" TargetMode="External"/><Relationship Id="rId11" Type="http://schemas.openxmlformats.org/officeDocument/2006/relationships/hyperlink" Target="https://ihl-databases.icrc.org/en/ihl-treaties/icc-statute-1998/article-7" TargetMode="External"/><Relationship Id="rId12" Type="http://schemas.openxmlformats.org/officeDocument/2006/relationships/hyperlink" Target="https://www.icc-cpi.int/publications/core-legal-texts/elements-crimes" TargetMode="External"/><Relationship Id="rId13" Type="http://schemas.openxmlformats.org/officeDocument/2006/relationships/hyperlink" Target="https://www.law.cornell.edu/uscode/text/18/1589" TargetMode="External"/><Relationship Id="rId14" Type="http://schemas.openxmlformats.org/officeDocument/2006/relationships/hyperlink" Target="https://www.law.cornell.edu/uscode/text/28/1350" TargetMode="External"/><Relationship Id="rId15" Type="http://schemas.openxmlformats.org/officeDocument/2006/relationships/hyperlink" Target="https://www.justice.gov/jm/jm-9-28000-principles-federal-prosecution-business-organizations" TargetMode="External"/><Relationship Id="rId16" Type="http://schemas.openxmlformats.org/officeDocument/2006/relationships/hyperlink" Target="https://master-evidence-folder-live-updates.buildsomething.co/" TargetMode="External"/><Relationship Id="rId17" Type="http://schemas.openxmlformats.org/officeDocument/2006/relationships/hyperlink" Target="https://buildsomething.co/press/indictment/" TargetMode="External"/><Relationship Id="rId18" Type="http://schemas.openxmlformats.org/officeDocument/2006/relationships/hyperlink" Target="https://openai.com/index/hugging-face-model-evaluation-security-incident/" TargetMode="External"/><Relationship Id="rId19" Type="http://schemas.openxmlformats.org/officeDocument/2006/relationships/hyperlink" Target="https://openai.com/index/hugging-face-incident-and-the-road-ah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Crimes Against Humanity Legal Memo</dc:title>
  <dc:subject>Evidence and legal issue review</dc:subject>
  <dc:creator>Build Something</dc:creator>
  <cp:keywords/>
  <dc:description/>
  <cp:lastModifiedBy/>
  <cp:revision>1</cp:revision>
  <dcterms:created xsi:type="dcterms:W3CDTF">2013-12-23T23:15:00Z</dcterms:created>
  <dcterms:modified xsi:type="dcterms:W3CDTF">2013-12-23T23:15:00Z</dcterms:modified>
  <cp:category/>
</cp:coreProperties>
</file>